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overflowPunct w:val="0"/>
        <w:autoSpaceDE w:val="0"/>
        <w:autoSpaceDN w:val="0"/>
        <w:spacing w:line="360" w:lineRule="auto"/>
        <w:rPr>
          <w:rFonts w:hint="eastAsia" w:ascii="仿宋_GB2312" w:eastAsia="仿宋_GB2312"/>
          <w:sz w:val="44"/>
          <w:szCs w:val="44"/>
        </w:rPr>
      </w:pPr>
    </w:p>
    <w:p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</w:p>
    <w:p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b/>
          <w:bCs/>
          <w:sz w:val="48"/>
          <w:szCs w:val="48"/>
        </w:rPr>
      </w:pPr>
    </w:p>
    <w:p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b/>
          <w:bCs/>
          <w:sz w:val="48"/>
          <w:szCs w:val="48"/>
        </w:rPr>
      </w:pPr>
    </w:p>
    <w:p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b/>
          <w:bCs/>
          <w:sz w:val="48"/>
          <w:szCs w:val="48"/>
        </w:rPr>
      </w:pPr>
      <w:r>
        <w:rPr>
          <w:rFonts w:hint="eastAsia" w:ascii="仿宋_GB2312" w:eastAsia="仿宋_GB2312"/>
          <w:b/>
          <w:bCs/>
          <w:sz w:val="48"/>
          <w:szCs w:val="48"/>
        </w:rPr>
        <w:t>凯里学院</w:t>
      </w:r>
    </w:p>
    <w:p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b/>
          <w:bCs/>
          <w:sz w:val="48"/>
          <w:szCs w:val="48"/>
        </w:rPr>
      </w:pPr>
    </w:p>
    <w:p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b/>
          <w:bCs/>
          <w:sz w:val="48"/>
          <w:szCs w:val="48"/>
        </w:rPr>
      </w:pPr>
      <w:r>
        <w:rPr>
          <w:rFonts w:hint="eastAsia" w:ascii="仿宋_GB2312" w:eastAsia="仿宋_GB2312"/>
          <w:b/>
          <w:bCs/>
          <w:sz w:val="48"/>
          <w:szCs w:val="48"/>
        </w:rPr>
        <w:t>《</w:t>
      </w:r>
      <w:r>
        <w:rPr>
          <w:rFonts w:hint="eastAsia" w:ascii="仿宋_GB2312" w:eastAsia="仿宋_GB2312"/>
          <w:b/>
          <w:bCs/>
          <w:sz w:val="48"/>
          <w:szCs w:val="48"/>
          <w:lang w:eastAsia="zh-Hans"/>
        </w:rPr>
        <w:t>微生物学</w:t>
      </w:r>
      <w:r>
        <w:rPr>
          <w:rFonts w:hint="eastAsia" w:ascii="仿宋_GB2312" w:eastAsia="仿宋_GB2312"/>
          <w:b/>
          <w:bCs/>
          <w:sz w:val="48"/>
          <w:szCs w:val="48"/>
        </w:rPr>
        <w:t>》本科课程大纲</w:t>
      </w:r>
    </w:p>
    <w:p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36"/>
          <w:szCs w:val="36"/>
        </w:rPr>
      </w:pPr>
    </w:p>
    <w:p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（202</w:t>
      </w:r>
      <w:r>
        <w:rPr>
          <w:rFonts w:hint="eastAsia" w:ascii="仿宋_GB2312" w:eastAsia="仿宋_GB2312"/>
          <w:sz w:val="36"/>
          <w:szCs w:val="36"/>
          <w:lang w:val="en-US" w:eastAsia="zh-CN"/>
        </w:rPr>
        <w:t>5</w:t>
      </w:r>
      <w:r>
        <w:rPr>
          <w:rFonts w:hint="eastAsia" w:ascii="仿宋_GB2312" w:eastAsia="仿宋_GB2312"/>
          <w:sz w:val="36"/>
          <w:szCs w:val="36"/>
        </w:rPr>
        <w:t>版）</w:t>
      </w:r>
    </w:p>
    <w:p>
      <w:pPr>
        <w:spacing w:line="360" w:lineRule="auto"/>
        <w:ind w:firstLine="420" w:firstLineChars="150"/>
        <w:rPr>
          <w:rFonts w:ascii="楷体_GB2312" w:eastAsia="楷体_GB2312"/>
          <w:sz w:val="28"/>
          <w:szCs w:val="28"/>
        </w:rPr>
      </w:pPr>
    </w:p>
    <w:p>
      <w:pPr>
        <w:spacing w:line="360" w:lineRule="auto"/>
        <w:ind w:firstLine="420" w:firstLineChars="150"/>
        <w:rPr>
          <w:rFonts w:ascii="楷体_GB2312" w:eastAsia="楷体_GB2312"/>
          <w:sz w:val="28"/>
          <w:szCs w:val="28"/>
        </w:rPr>
      </w:pPr>
    </w:p>
    <w:p>
      <w:pPr>
        <w:spacing w:line="360" w:lineRule="auto"/>
        <w:ind w:firstLine="420" w:firstLineChars="150"/>
        <w:rPr>
          <w:rFonts w:ascii="楷体_GB2312" w:eastAsia="楷体_GB2312"/>
          <w:sz w:val="28"/>
          <w:szCs w:val="28"/>
        </w:rPr>
      </w:pPr>
    </w:p>
    <w:p>
      <w:pPr>
        <w:spacing w:line="360" w:lineRule="auto"/>
        <w:ind w:firstLine="420" w:firstLineChars="150"/>
        <w:rPr>
          <w:rFonts w:ascii="楷体_GB2312" w:eastAsia="楷体_GB2312"/>
          <w:sz w:val="28"/>
          <w:szCs w:val="28"/>
        </w:rPr>
      </w:pPr>
    </w:p>
    <w:p>
      <w:pPr>
        <w:spacing w:line="360" w:lineRule="auto"/>
        <w:ind w:firstLine="420" w:firstLineChars="150"/>
        <w:rPr>
          <w:rFonts w:ascii="楷体_GB2312" w:eastAsia="楷体_GB2312"/>
          <w:sz w:val="28"/>
          <w:szCs w:val="28"/>
        </w:rPr>
      </w:pPr>
    </w:p>
    <w:p>
      <w:pPr>
        <w:spacing w:line="360" w:lineRule="auto"/>
        <w:ind w:firstLine="420" w:firstLineChars="150"/>
        <w:rPr>
          <w:rFonts w:ascii="楷体_GB2312" w:eastAsia="楷体_GB2312"/>
          <w:sz w:val="28"/>
          <w:szCs w:val="28"/>
        </w:rPr>
      </w:pPr>
    </w:p>
    <w:p>
      <w:pPr>
        <w:spacing w:line="360" w:lineRule="auto"/>
        <w:rPr>
          <w:rFonts w:ascii="楷体_GB2312" w:eastAsia="楷体_GB2312"/>
          <w:sz w:val="28"/>
          <w:szCs w:val="28"/>
        </w:rPr>
      </w:pPr>
    </w:p>
    <w:p>
      <w:pPr>
        <w:spacing w:line="360" w:lineRule="auto"/>
        <w:jc w:val="center"/>
        <w:rPr>
          <w:rFonts w:ascii="楷体_GB2312" w:eastAsia="楷体_GB2312"/>
          <w:sz w:val="44"/>
          <w:szCs w:val="44"/>
        </w:rPr>
      </w:pPr>
      <w:r>
        <w:rPr>
          <w:rFonts w:hint="eastAsia" w:ascii="楷体_GB2312" w:eastAsia="楷体_GB2312"/>
          <w:sz w:val="44"/>
          <w:szCs w:val="44"/>
          <w:lang w:val="en-US" w:eastAsia="zh-Hans"/>
        </w:rPr>
        <w:t>大健康</w:t>
      </w:r>
      <w:r>
        <w:rPr>
          <w:rFonts w:hint="eastAsia" w:ascii="楷体_GB2312" w:eastAsia="楷体_GB2312"/>
          <w:sz w:val="44"/>
          <w:szCs w:val="44"/>
        </w:rPr>
        <w:t>学院</w:t>
      </w:r>
    </w:p>
    <w:p>
      <w:pPr>
        <w:spacing w:line="360" w:lineRule="auto"/>
        <w:jc w:val="center"/>
        <w:rPr>
          <w:rFonts w:ascii="仿宋" w:hAnsi="仿宋" w:eastAsia="仿宋"/>
          <w:b/>
          <w:sz w:val="28"/>
        </w:rPr>
      </w:pPr>
      <w:r>
        <w:rPr>
          <w:rFonts w:ascii="仿宋_GB2312" w:eastAsia="仿宋_GB2312"/>
          <w:sz w:val="48"/>
          <w:szCs w:val="48"/>
        </w:rPr>
        <w:t>202</w:t>
      </w:r>
      <w:r>
        <w:rPr>
          <w:rFonts w:hint="eastAsia" w:ascii="仿宋_GB2312" w:eastAsia="仿宋_GB2312"/>
          <w:sz w:val="48"/>
          <w:szCs w:val="48"/>
          <w:lang w:val="en-US" w:eastAsia="zh-CN"/>
        </w:rPr>
        <w:t>5</w:t>
      </w:r>
      <w:r>
        <w:rPr>
          <w:rFonts w:hint="eastAsia" w:ascii="楷体_GB2312" w:eastAsia="楷体_GB2312"/>
          <w:sz w:val="44"/>
          <w:szCs w:val="44"/>
        </w:rPr>
        <w:t>年编制</w:t>
      </w:r>
      <w:r>
        <w:rPr>
          <w:rFonts w:ascii="楷体_GB2312" w:eastAsia="楷体_GB2312"/>
          <w:sz w:val="44"/>
          <w:szCs w:val="44"/>
        </w:rPr>
        <w:tab/>
      </w:r>
    </w:p>
    <w:p>
      <w:pPr>
        <w:spacing w:line="360" w:lineRule="auto"/>
        <w:rPr>
          <w:rFonts w:ascii="仿宋" w:hAnsi="仿宋" w:eastAsia="仿宋"/>
          <w:b/>
          <w:sz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color w:val="FF0000"/>
        </w:rPr>
      </w:pPr>
    </w:p>
    <w:p>
      <w:pPr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一、课程信息</w:t>
      </w:r>
    </w:p>
    <w:tbl>
      <w:tblPr>
        <w:tblStyle w:val="7"/>
        <w:tblW w:w="886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2318"/>
        <w:gridCol w:w="1758"/>
        <w:gridCol w:w="30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课程名称：</w:t>
            </w: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（微生物学、</w:t>
            </w:r>
            <w:r>
              <w:rPr>
                <w:rFonts w:ascii="楷体_GB2312" w:hAnsi="仿宋" w:eastAsia="楷体_GB2312" w:cs="楷体_GB2312"/>
                <w:szCs w:val="21"/>
              </w:rPr>
              <w:t>Microbiology</w:t>
            </w:r>
            <w:r>
              <w:rPr>
                <w:rFonts w:hint="eastAsia" w:ascii="楷体_GB2312" w:hAnsi="仿宋" w:eastAsia="楷体_GB2312" w:cs="楷体_GB2312"/>
                <w:szCs w:val="21"/>
              </w:rPr>
              <w:t>）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课程代码：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380053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开课单位：</w:t>
            </w: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  <w:lang w:val="en-US" w:eastAsia="zh-Hans"/>
              </w:rPr>
              <w:t>大健康</w:t>
            </w:r>
            <w:r>
              <w:rPr>
                <w:rFonts w:hint="eastAsia" w:ascii="楷体_GB2312" w:hAnsi="仿宋" w:eastAsia="楷体_GB2312" w:cs="楷体_GB2312"/>
                <w:szCs w:val="21"/>
              </w:rPr>
              <w:t>学院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开课学期：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第</w:t>
            </w:r>
            <w:r>
              <w:rPr>
                <w:rFonts w:hint="eastAsia" w:ascii="楷体_GB2312" w:hAnsi="仿宋" w:eastAsia="楷体_GB2312" w:cs="楷体_GB2312"/>
                <w:szCs w:val="21"/>
                <w:lang w:val="en-US" w:eastAsia="zh-CN"/>
              </w:rPr>
              <w:t>三</w:t>
            </w:r>
            <w:r>
              <w:rPr>
                <w:rFonts w:hint="eastAsia" w:ascii="楷体_GB2312" w:hAnsi="仿宋" w:eastAsia="楷体_GB2312" w:cs="楷体_GB2312"/>
                <w:szCs w:val="21"/>
              </w:rPr>
              <w:t>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适用专业：</w:t>
            </w: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仿宋" w:eastAsia="楷体_GB2312" w:cs="楷体_GB2312"/>
                <w:szCs w:val="21"/>
                <w:lang w:eastAsia="zh-CN"/>
              </w:rPr>
            </w:pPr>
            <w:r>
              <w:rPr>
                <w:rFonts w:hint="eastAsia" w:ascii="楷体_GB2312" w:hAnsi="仿宋" w:eastAsia="楷体_GB2312" w:cs="楷体_GB2312"/>
                <w:szCs w:val="21"/>
                <w:lang w:val="en-US" w:eastAsia="zh-CN"/>
              </w:rPr>
              <w:t>生物工程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课程类别：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学科专业课程/必修课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课程学时：</w:t>
            </w: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  <w:lang w:val="en-US" w:eastAsia="zh-CN"/>
              </w:rPr>
              <w:t>64</w:t>
            </w:r>
            <w:r>
              <w:rPr>
                <w:rFonts w:hint="eastAsia" w:ascii="楷体_GB2312" w:hAnsi="仿宋" w:eastAsia="楷体_GB2312" w:cs="楷体_GB2312"/>
                <w:szCs w:val="21"/>
              </w:rPr>
              <w:t>学时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课程学分：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default" w:ascii="楷体_GB2312" w:hAnsi="仿宋" w:eastAsia="楷体_GB2312" w:cs="楷体_GB2312"/>
                <w:szCs w:val="21"/>
              </w:rPr>
              <w:t>3</w:t>
            </w:r>
            <w:r>
              <w:rPr>
                <w:rFonts w:hint="eastAsia" w:ascii="楷体_GB2312" w:hAnsi="仿宋" w:eastAsia="楷体_GB2312" w:cs="楷体_GB2312"/>
                <w:szCs w:val="21"/>
              </w:rPr>
              <w:t>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开课依据：</w:t>
            </w: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《凯里学院20</w:t>
            </w:r>
            <w:r>
              <w:rPr>
                <w:rFonts w:hint="default" w:ascii="楷体_GB2312" w:hAnsi="仿宋" w:eastAsia="楷体_GB2312" w:cs="楷体_GB2312"/>
                <w:szCs w:val="21"/>
              </w:rPr>
              <w:t>2</w:t>
            </w:r>
            <w:r>
              <w:rPr>
                <w:rFonts w:hint="eastAsia" w:ascii="楷体_GB2312" w:hAnsi="仿宋" w:eastAsia="楷体_GB2312" w:cs="楷体_GB2312"/>
                <w:szCs w:val="21"/>
                <w:lang w:val="en-US" w:eastAsia="zh-CN"/>
              </w:rPr>
              <w:t>4</w:t>
            </w:r>
            <w:r>
              <w:rPr>
                <w:rFonts w:hint="eastAsia" w:ascii="楷体_GB2312" w:hAnsi="仿宋" w:eastAsia="楷体_GB2312" w:cs="楷体_GB2312"/>
                <w:szCs w:val="21"/>
              </w:rPr>
              <w:t>级</w:t>
            </w:r>
            <w:r>
              <w:rPr>
                <w:rFonts w:hint="eastAsia" w:ascii="楷体_GB2312" w:hAnsi="仿宋" w:eastAsia="楷体_GB2312" w:cs="楷体_GB2312"/>
                <w:szCs w:val="21"/>
                <w:lang w:val="en-US" w:eastAsia="zh-Hans"/>
              </w:rPr>
              <w:t>生物</w:t>
            </w:r>
            <w:r>
              <w:rPr>
                <w:rFonts w:hint="eastAsia" w:ascii="楷体_GB2312" w:hAnsi="仿宋" w:eastAsia="楷体_GB2312" w:cs="楷体_GB2312"/>
                <w:szCs w:val="21"/>
                <w:lang w:val="en-US" w:eastAsia="zh-CN"/>
              </w:rPr>
              <w:t>工程</w:t>
            </w:r>
            <w:r>
              <w:rPr>
                <w:rFonts w:hint="eastAsia" w:ascii="楷体_GB2312" w:hAnsi="仿宋" w:eastAsia="楷体_GB2312" w:cs="楷体_GB2312"/>
                <w:szCs w:val="21"/>
              </w:rPr>
              <w:t>专业人才培养方案》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先修课程：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仿宋" w:eastAsia="楷体_GB2312" w:cs="楷体_GB2312"/>
                <w:szCs w:val="21"/>
                <w:lang w:val="en-US" w:eastAsia="zh-CN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《</w:t>
            </w:r>
            <w:r>
              <w:rPr>
                <w:rFonts w:hint="eastAsia" w:ascii="楷体_GB2312" w:hAnsi="仿宋" w:eastAsia="楷体_GB2312" w:cs="楷体_GB2312"/>
                <w:szCs w:val="21"/>
                <w:lang w:val="en-US" w:eastAsia="zh-CN"/>
              </w:rPr>
              <w:t>无机及分析化学</w:t>
            </w:r>
            <w:r>
              <w:rPr>
                <w:rFonts w:hint="eastAsia" w:ascii="楷体_GB2312" w:hAnsi="仿宋" w:eastAsia="楷体_GB2312" w:cs="楷体_GB2312"/>
                <w:szCs w:val="21"/>
              </w:rPr>
              <w:t>》</w:t>
            </w:r>
            <w:r>
              <w:rPr>
                <w:rFonts w:hint="eastAsia" w:ascii="楷体_GB2312" w:hAnsi="仿宋" w:eastAsia="楷体_GB2312" w:cs="楷体_GB2312"/>
                <w:szCs w:val="21"/>
                <w:lang w:eastAsia="zh-CN"/>
              </w:rPr>
              <w:t>《</w:t>
            </w:r>
            <w:r>
              <w:rPr>
                <w:rFonts w:hint="eastAsia" w:ascii="楷体_GB2312" w:hAnsi="仿宋" w:eastAsia="楷体_GB2312" w:cs="楷体_GB2312"/>
                <w:szCs w:val="21"/>
                <w:lang w:val="en-US" w:eastAsia="zh-CN"/>
              </w:rPr>
              <w:t>专业导论</w:t>
            </w:r>
            <w:r>
              <w:rPr>
                <w:rFonts w:hint="eastAsia" w:ascii="楷体_GB2312" w:hAnsi="仿宋" w:eastAsia="楷体_GB2312" w:cs="楷体_GB2312"/>
                <w:szCs w:val="21"/>
                <w:lang w:eastAsia="zh-CN"/>
              </w:rPr>
              <w:t>》</w:t>
            </w:r>
            <w:r>
              <w:rPr>
                <w:rFonts w:hint="eastAsia" w:ascii="楷体_GB2312" w:hAnsi="仿宋" w:eastAsia="楷体_GB2312" w:cs="楷体_GB2312"/>
                <w:szCs w:val="21"/>
                <w:lang w:val="en-US" w:eastAsia="zh-CN"/>
              </w:rPr>
              <w:t>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编写时间：</w:t>
            </w:r>
          </w:p>
        </w:tc>
        <w:tc>
          <w:tcPr>
            <w:tcW w:w="2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202</w:t>
            </w:r>
            <w:r>
              <w:rPr>
                <w:rFonts w:hint="eastAsia" w:ascii="楷体_GB2312" w:hAnsi="仿宋" w:eastAsia="楷体_GB2312" w:cs="楷体_GB2312"/>
                <w:szCs w:val="21"/>
                <w:lang w:val="en-US" w:eastAsia="zh-CN"/>
              </w:rPr>
              <w:t>5</w:t>
            </w:r>
            <w:r>
              <w:rPr>
                <w:rFonts w:hint="eastAsia" w:ascii="楷体_GB2312" w:hAnsi="仿宋" w:eastAsia="楷体_GB2312" w:cs="楷体_GB2312"/>
                <w:szCs w:val="21"/>
              </w:rPr>
              <w:t>.</w:t>
            </w:r>
            <w:r>
              <w:rPr>
                <w:rFonts w:ascii="楷体_GB2312" w:hAnsi="仿宋" w:eastAsia="楷体_GB2312" w:cs="楷体_GB2312"/>
                <w:szCs w:val="21"/>
              </w:rPr>
              <w:t>02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</w:rPr>
              <w:t>选用教材：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hAnsi="仿宋" w:eastAsia="楷体_GB2312" w:cs="楷体_GB2312"/>
                <w:szCs w:val="21"/>
              </w:rPr>
            </w:pPr>
            <w:r>
              <w:rPr>
                <w:rFonts w:hint="eastAsia" w:ascii="楷体_GB2312" w:hAnsi="仿宋" w:eastAsia="楷体_GB2312" w:cs="楷体_GB2312"/>
                <w:szCs w:val="21"/>
                <w:lang w:val="en-US" w:eastAsia="zh-CN"/>
              </w:rPr>
              <w:t>路福平、李玉主编，《微生物学》</w:t>
            </w:r>
            <w:r>
              <w:rPr>
                <w:rFonts w:hint="eastAsia" w:ascii="楷体_GB2312" w:hAnsi="仿宋" w:eastAsia="楷体_GB2312" w:cs="楷体_GB2312"/>
                <w:szCs w:val="21"/>
                <w:lang w:val="en-US" w:eastAsia="zh-Hans"/>
              </w:rPr>
              <w:t>(第</w:t>
            </w:r>
            <w:r>
              <w:rPr>
                <w:rFonts w:hint="eastAsia" w:ascii="楷体_GB2312" w:hAnsi="仿宋" w:eastAsia="楷体_GB2312" w:cs="楷体_GB2312"/>
                <w:szCs w:val="21"/>
                <w:lang w:val="en-US" w:eastAsia="zh-CN"/>
              </w:rPr>
              <w:t>二</w:t>
            </w:r>
            <w:r>
              <w:rPr>
                <w:rFonts w:hint="eastAsia" w:ascii="楷体_GB2312" w:hAnsi="仿宋" w:eastAsia="楷体_GB2312" w:cs="楷体_GB2312"/>
                <w:szCs w:val="21"/>
                <w:lang w:val="en-US" w:eastAsia="zh-Hans"/>
              </w:rPr>
              <w:t>版)</w:t>
            </w:r>
            <w:r>
              <w:rPr>
                <w:rFonts w:hint="eastAsia" w:ascii="楷体_GB2312" w:hAnsi="仿宋" w:eastAsia="楷体_GB2312" w:cs="楷体_GB2312"/>
                <w:szCs w:val="21"/>
                <w:lang w:val="en-US" w:eastAsia="zh-CN"/>
              </w:rPr>
              <w:t>，中国轻工业出版社，2020年</w:t>
            </w:r>
          </w:p>
        </w:tc>
      </w:tr>
    </w:tbl>
    <w:p>
      <w:pPr>
        <w:jc w:val="left"/>
        <w:rPr>
          <w:rFonts w:ascii="宋体" w:hAnsi="宋体"/>
          <w:b/>
          <w:color w:val="000000"/>
          <w:sz w:val="24"/>
        </w:rPr>
      </w:pPr>
    </w:p>
    <w:p>
      <w:pPr>
        <w:jc w:val="lef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 课程简介</w:t>
      </w:r>
    </w:p>
    <w:p>
      <w:pPr>
        <w:widowControl/>
        <w:ind w:firstLine="480" w:firstLineChars="200"/>
        <w:jc w:val="left"/>
        <w:rPr>
          <w:rFonts w:hint="eastAsia" w:ascii="楷体_GB2312" w:hAnsi="仿宋" w:eastAsia="楷体_GB2312" w:cs="楷体_GB2312"/>
          <w:sz w:val="24"/>
          <w:szCs w:val="24"/>
        </w:rPr>
      </w:pPr>
      <w:r>
        <w:rPr>
          <w:rFonts w:hint="eastAsia" w:ascii="楷体_GB2312" w:hAnsi="仿宋" w:eastAsia="楷体_GB2312" w:cs="楷体_GB2312"/>
          <w:sz w:val="24"/>
          <w:szCs w:val="24"/>
        </w:rPr>
        <w:t>主要目标：掌握微生物学的研究对象及其生命活动特点，对农业丰产和食品工业的意义，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熟练掌握</w:t>
      </w:r>
      <w:r>
        <w:rPr>
          <w:rFonts w:hint="eastAsia" w:ascii="楷体_GB2312" w:hAnsi="仿宋" w:eastAsia="楷体_GB2312" w:cs="楷体_GB2312"/>
          <w:sz w:val="24"/>
          <w:szCs w:val="24"/>
        </w:rPr>
        <w:t>微生物的种类、形态、结构，生理和生化、代谢和繁殖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特征</w:t>
      </w:r>
      <w:r>
        <w:rPr>
          <w:rFonts w:hint="eastAsia" w:ascii="楷体_GB2312" w:hAnsi="仿宋" w:eastAsia="楷体_GB2312" w:cs="楷体_GB2312"/>
          <w:sz w:val="24"/>
          <w:szCs w:val="24"/>
        </w:rPr>
        <w:t>；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了解</w:t>
      </w:r>
      <w:r>
        <w:rPr>
          <w:rFonts w:hint="eastAsia" w:ascii="楷体_GB2312" w:hAnsi="仿宋" w:eastAsia="楷体_GB2312" w:cs="楷体_GB2312"/>
          <w:sz w:val="24"/>
          <w:szCs w:val="24"/>
        </w:rPr>
        <w:t>微生物学与其它学科结合衍生的分支学科。</w:t>
      </w:r>
    </w:p>
    <w:p>
      <w:pPr>
        <w:widowControl/>
        <w:ind w:firstLine="480" w:firstLineChars="200"/>
        <w:jc w:val="left"/>
        <w:rPr>
          <w:rFonts w:hint="eastAsia" w:ascii="楷体_GB2312" w:hAnsi="仿宋" w:eastAsia="楷体_GB2312" w:cs="楷体_GB2312"/>
          <w:sz w:val="24"/>
          <w:szCs w:val="24"/>
        </w:rPr>
      </w:pPr>
      <w:r>
        <w:rPr>
          <w:rFonts w:hint="eastAsia" w:ascii="楷体_GB2312" w:hAnsi="仿宋" w:eastAsia="楷体_GB2312" w:cs="楷体_GB2312"/>
          <w:sz w:val="24"/>
          <w:szCs w:val="24"/>
        </w:rPr>
        <w:t>课程主要内容有：绪论（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4</w:t>
      </w:r>
      <w:r>
        <w:rPr>
          <w:rFonts w:hint="eastAsia" w:ascii="楷体_GB2312" w:hAnsi="仿宋" w:eastAsia="楷体_GB2312" w:cs="楷体_GB2312"/>
          <w:sz w:val="24"/>
          <w:szCs w:val="24"/>
        </w:rPr>
        <w:t>学时）、病毒（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6</w:t>
      </w:r>
      <w:r>
        <w:rPr>
          <w:rFonts w:hint="eastAsia" w:ascii="楷体_GB2312" w:hAnsi="仿宋" w:eastAsia="楷体_GB2312" w:cs="楷体_GB2312"/>
          <w:sz w:val="24"/>
          <w:szCs w:val="24"/>
        </w:rPr>
        <w:t>学时）、原核微生物（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10</w:t>
      </w:r>
      <w:r>
        <w:rPr>
          <w:rFonts w:hint="eastAsia" w:ascii="楷体_GB2312" w:hAnsi="仿宋" w:eastAsia="楷体_GB2312" w:cs="楷体_GB2312"/>
          <w:sz w:val="24"/>
          <w:szCs w:val="24"/>
        </w:rPr>
        <w:t>学时）、真核微生物（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6</w:t>
      </w:r>
      <w:r>
        <w:rPr>
          <w:rFonts w:hint="eastAsia" w:ascii="楷体_GB2312" w:hAnsi="仿宋" w:eastAsia="楷体_GB2312" w:cs="楷体_GB2312"/>
          <w:sz w:val="24"/>
          <w:szCs w:val="24"/>
        </w:rPr>
        <w:t>学时）、微生物的营养与生长 （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10</w:t>
      </w:r>
      <w:r>
        <w:rPr>
          <w:rFonts w:hint="eastAsia" w:ascii="楷体_GB2312" w:hAnsi="仿宋" w:eastAsia="楷体_GB2312" w:cs="楷体_GB2312"/>
          <w:sz w:val="24"/>
          <w:szCs w:val="24"/>
        </w:rPr>
        <w:t>学时）、微生物的遗传和变异 （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6</w:t>
      </w:r>
      <w:r>
        <w:rPr>
          <w:rFonts w:hint="eastAsia" w:ascii="楷体_GB2312" w:hAnsi="仿宋" w:eastAsia="楷体_GB2312" w:cs="楷体_GB2312"/>
          <w:sz w:val="24"/>
          <w:szCs w:val="24"/>
        </w:rPr>
        <w:t>学时）、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微生物生态学</w:t>
      </w:r>
      <w:r>
        <w:rPr>
          <w:rFonts w:hint="eastAsia" w:ascii="楷体_GB2312" w:hAnsi="仿宋" w:eastAsia="楷体_GB2312" w:cs="楷体_GB2312"/>
          <w:sz w:val="24"/>
          <w:szCs w:val="24"/>
        </w:rPr>
        <w:t>（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4</w:t>
      </w:r>
      <w:r>
        <w:rPr>
          <w:rFonts w:hint="eastAsia" w:ascii="楷体_GB2312" w:hAnsi="仿宋" w:eastAsia="楷体_GB2312" w:cs="楷体_GB2312"/>
          <w:sz w:val="24"/>
          <w:szCs w:val="24"/>
        </w:rPr>
        <w:t>学时）、微生物与环境污染控制与治理（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6</w:t>
      </w:r>
      <w:r>
        <w:rPr>
          <w:rFonts w:hint="eastAsia" w:ascii="楷体_GB2312" w:hAnsi="仿宋" w:eastAsia="楷体_GB2312" w:cs="楷体_GB2312"/>
          <w:sz w:val="24"/>
          <w:szCs w:val="24"/>
        </w:rPr>
        <w:t>学时）</w:t>
      </w:r>
      <w:r>
        <w:rPr>
          <w:rFonts w:hint="eastAsia" w:ascii="楷体_GB2312" w:hAnsi="仿宋" w:eastAsia="楷体_GB2312" w:cs="楷体_GB2312"/>
          <w:sz w:val="24"/>
          <w:szCs w:val="24"/>
          <w:lang w:eastAsia="zh-CN"/>
        </w:rPr>
        <w:t>、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微生物学应用</w:t>
      </w:r>
      <w:r>
        <w:rPr>
          <w:rFonts w:hint="eastAsia" w:ascii="楷体_GB2312" w:hAnsi="仿宋" w:eastAsia="楷体_GB2312" w:cs="楷体_GB2312"/>
          <w:sz w:val="24"/>
          <w:szCs w:val="24"/>
        </w:rPr>
        <w:t>（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12</w:t>
      </w:r>
      <w:r>
        <w:rPr>
          <w:rFonts w:hint="eastAsia" w:ascii="楷体_GB2312" w:hAnsi="仿宋" w:eastAsia="楷体_GB2312" w:cs="楷体_GB2312"/>
          <w:sz w:val="24"/>
          <w:szCs w:val="24"/>
        </w:rPr>
        <w:t>学时）。在具体讲授时，因材施教，根据学生的来源和授课教师的特长，可对课程内容做适当的调整，以便使课堂气氛更加活跃，穿插介绍当前的前沿热点问题，进一步提高授课的质量与效果。</w:t>
      </w:r>
    </w:p>
    <w:p>
      <w:pPr>
        <w:kinsoku w:val="0"/>
        <w:overflowPunct w:val="0"/>
        <w:autoSpaceDE w:val="0"/>
        <w:autoSpaceDN w:val="0"/>
        <w:spacing w:line="360" w:lineRule="auto"/>
        <w:ind w:firstLine="480"/>
        <w:rPr>
          <w:rFonts w:ascii="楷体_GB2312" w:eastAsia="楷体_GB2312"/>
          <w:color w:val="FF0000"/>
          <w:sz w:val="24"/>
        </w:rPr>
      </w:pPr>
    </w:p>
    <w:p>
      <w:pPr>
        <w:jc w:val="lef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三、课程目标</w:t>
      </w:r>
    </w:p>
    <w:p>
      <w:pPr>
        <w:ind w:firstLine="482" w:firstLineChars="200"/>
        <w:jc w:val="left"/>
        <w:rPr>
          <w:rFonts w:ascii="楷体_GB2312" w:eastAsia="楷体_GB2312"/>
          <w:color w:val="FF0000"/>
          <w:sz w:val="24"/>
        </w:rPr>
      </w:pPr>
      <w:r>
        <w:rPr>
          <w:rFonts w:hint="eastAsia" w:ascii="楷体_GB2312" w:eastAsia="楷体_GB2312"/>
          <w:b/>
          <w:sz w:val="24"/>
        </w:rPr>
        <w:t>（一）通过本课程的学习，学生能够达到以下目标：</w:t>
      </w:r>
    </w:p>
    <w:p>
      <w:pPr>
        <w:widowControl/>
        <w:ind w:firstLine="480" w:firstLineChars="200"/>
        <w:jc w:val="left"/>
        <w:rPr>
          <w:rFonts w:hint="eastAsia" w:ascii="楷体_GB2312" w:hAnsi="仿宋" w:eastAsia="楷体_GB2312" w:cs="楷体_GB2312"/>
          <w:sz w:val="24"/>
          <w:szCs w:val="24"/>
        </w:rPr>
      </w:pPr>
      <w:r>
        <w:rPr>
          <w:rFonts w:hint="eastAsia" w:ascii="楷体_GB2312" w:hAnsi="仿宋" w:eastAsia="楷体_GB2312" w:cs="楷体_GB2312"/>
          <w:sz w:val="24"/>
          <w:szCs w:val="24"/>
        </w:rPr>
        <w:t>课程目标1：理论、知识目标，通过学习，要求学生掌握微生物形态、细胞结构及其功能；微生物的营养、呼吸、物质代谢、生长、繁殖、遗传与变异等的基础知识。</w:t>
      </w:r>
    </w:p>
    <w:p>
      <w:pPr>
        <w:ind w:firstLine="480" w:firstLineChars="200"/>
        <w:rPr>
          <w:rFonts w:hint="eastAsia" w:ascii="楷体_GB2312" w:hAnsi="仿宋" w:eastAsia="楷体_GB2312" w:cs="楷体_GB2312"/>
          <w:sz w:val="24"/>
          <w:szCs w:val="24"/>
        </w:rPr>
      </w:pPr>
      <w:r>
        <w:rPr>
          <w:rFonts w:hint="eastAsia" w:ascii="楷体_GB2312" w:hAnsi="仿宋" w:eastAsia="楷体_GB2312" w:cs="楷体_GB2312"/>
          <w:sz w:val="24"/>
          <w:szCs w:val="24"/>
        </w:rPr>
        <w:t>课程目标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2</w:t>
      </w:r>
      <w:r>
        <w:rPr>
          <w:rFonts w:hint="eastAsia" w:ascii="楷体_GB2312" w:hAnsi="仿宋" w:eastAsia="楷体_GB2312" w:cs="楷体_GB2312"/>
          <w:sz w:val="24"/>
          <w:szCs w:val="24"/>
        </w:rPr>
        <w:t>：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能力</w:t>
      </w:r>
      <w:r>
        <w:rPr>
          <w:rFonts w:hint="eastAsia" w:ascii="楷体_GB2312" w:hAnsi="仿宋" w:eastAsia="楷体_GB2312" w:cs="楷体_GB2312"/>
          <w:sz w:val="24"/>
          <w:szCs w:val="24"/>
        </w:rPr>
        <w:t>目标，要求学生掌握微生物学的基本理论和基础知识，掌握微生物在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Hans"/>
        </w:rPr>
        <w:t>生命</w:t>
      </w:r>
      <w:r>
        <w:rPr>
          <w:rFonts w:hint="eastAsia" w:ascii="楷体_GB2312" w:hAnsi="仿宋" w:eastAsia="楷体_GB2312" w:cs="楷体_GB2312"/>
          <w:sz w:val="24"/>
          <w:szCs w:val="24"/>
        </w:rPr>
        <w:t>科学领域中的应用</w:t>
      </w:r>
      <w:r>
        <w:rPr>
          <w:rFonts w:hint="eastAsia" w:ascii="楷体_GB2312" w:hAnsi="仿宋" w:eastAsia="楷体_GB2312" w:cs="楷体_GB2312"/>
          <w:sz w:val="24"/>
          <w:szCs w:val="24"/>
          <w:lang w:eastAsia="zh-Hans"/>
        </w:rPr>
        <w:t>机理</w:t>
      </w:r>
      <w:r>
        <w:rPr>
          <w:rFonts w:hint="eastAsia" w:ascii="楷体_GB2312" w:hAnsi="仿宋" w:eastAsia="楷体_GB2312" w:cs="楷体_GB2312"/>
          <w:sz w:val="24"/>
          <w:szCs w:val="24"/>
        </w:rPr>
        <w:t>。</w:t>
      </w:r>
    </w:p>
    <w:p>
      <w:pPr>
        <w:ind w:firstLine="480" w:firstLineChars="200"/>
        <w:rPr>
          <w:rFonts w:hint="eastAsia" w:ascii="楷体_GB2312" w:hAnsi="仿宋" w:eastAsia="楷体_GB2312" w:cs="楷体_GB2312"/>
          <w:sz w:val="24"/>
          <w:szCs w:val="24"/>
        </w:rPr>
      </w:pPr>
      <w:r>
        <w:rPr>
          <w:rFonts w:hint="eastAsia" w:ascii="楷体_GB2312" w:hAnsi="仿宋" w:eastAsia="楷体_GB2312" w:cs="楷体_GB2312"/>
          <w:sz w:val="24"/>
          <w:szCs w:val="24"/>
        </w:rPr>
        <w:t>课程目标3：达成目标，要求</w:t>
      </w:r>
      <w:r>
        <w:rPr>
          <w:rFonts w:hint="eastAsia" w:ascii="楷体_GB2312" w:hAnsi="仿宋" w:eastAsia="楷体_GB2312" w:cs="楷体_GB2312"/>
          <w:sz w:val="24"/>
          <w:szCs w:val="24"/>
          <w:lang w:val="en-US" w:eastAsia="zh-CN"/>
        </w:rPr>
        <w:t>学生具有</w:t>
      </w:r>
      <w:r>
        <w:rPr>
          <w:rFonts w:hint="eastAsia" w:ascii="楷体_GB2312" w:hAnsi="仿宋" w:eastAsia="楷体_GB2312" w:cs="楷体_GB2312"/>
          <w:sz w:val="24"/>
          <w:szCs w:val="24"/>
        </w:rPr>
        <w:t>学生的团队协作精神和社会责任感</w:t>
      </w:r>
      <w:r>
        <w:rPr>
          <w:rFonts w:hint="eastAsia" w:ascii="楷体_GB2312" w:hAnsi="仿宋" w:eastAsia="楷体_GB2312" w:cs="楷体_GB2312"/>
          <w:sz w:val="24"/>
          <w:szCs w:val="24"/>
          <w:lang w:eastAsia="zh-CN"/>
        </w:rPr>
        <w:t>，强化学生的环保意识和对生命科学的敬畏之心，激发学生对微生物学及相关领域研究的兴趣和热情</w:t>
      </w:r>
      <w:r>
        <w:rPr>
          <w:rFonts w:hint="eastAsia" w:ascii="楷体_GB2312" w:hAnsi="仿宋" w:eastAsia="楷体_GB2312" w:cs="楷体_GB2312"/>
          <w:sz w:val="24"/>
          <w:szCs w:val="24"/>
        </w:rPr>
        <w:t>。</w:t>
      </w:r>
    </w:p>
    <w:p>
      <w:pPr>
        <w:ind w:firstLine="480" w:firstLineChars="200"/>
        <w:rPr>
          <w:rFonts w:hint="eastAsia" w:ascii="楷体_GB2312" w:hAnsi="仿宋" w:eastAsia="楷体_GB2312" w:cs="楷体_GB2312"/>
          <w:sz w:val="24"/>
          <w:szCs w:val="24"/>
        </w:rPr>
      </w:pPr>
    </w:p>
    <w:p>
      <w:pPr>
        <w:ind w:firstLine="482" w:firstLineChars="20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（二）课程目标</w:t>
      </w:r>
      <w:r>
        <w:rPr>
          <w:rFonts w:ascii="楷体_GB2312" w:eastAsia="楷体_GB2312"/>
          <w:b/>
          <w:sz w:val="24"/>
        </w:rPr>
        <w:t>与毕业要求的关系</w:t>
      </w:r>
    </w:p>
    <w:tbl>
      <w:tblPr>
        <w:tblStyle w:val="8"/>
        <w:tblpPr w:leftFromText="180" w:rightFromText="180" w:vertAnchor="text" w:horzAnchor="page" w:tblpX="1845" w:tblpY="466"/>
        <w:tblOverlap w:val="never"/>
        <w:tblW w:w="8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1832"/>
        <w:gridCol w:w="5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3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b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Cs w:val="24"/>
              </w:rPr>
              <w:t>课程目标</w:t>
            </w:r>
          </w:p>
        </w:tc>
        <w:tc>
          <w:tcPr>
            <w:tcW w:w="1832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b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Cs w:val="24"/>
              </w:rPr>
              <w:t>支撑的毕业要求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b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Cs w:val="24"/>
              </w:rPr>
              <w:t>支撑的毕业要求指标点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rFonts w:hint="default" w:ascii="楷体_GB2312" w:hAnsi="楷体" w:eastAsia="楷体_GB2312"/>
                <w:b/>
                <w:szCs w:val="24"/>
                <w:lang w:val="en-US" w:eastAsia="zh-CN"/>
              </w:rPr>
            </w:pPr>
            <w:r>
              <w:rPr>
                <w:rFonts w:hint="eastAsia" w:ascii="楷体_GB2312" w:hAnsi="楷体" w:eastAsia="楷体_GB2312"/>
                <w:b/>
                <w:szCs w:val="24"/>
              </w:rPr>
              <w:t>课程目标1</w:t>
            </w:r>
          </w:p>
        </w:tc>
        <w:tc>
          <w:tcPr>
            <w:tcW w:w="1832" w:type="dxa"/>
            <w:vAlign w:val="center"/>
          </w:tcPr>
          <w:p>
            <w:pPr>
              <w:jc w:val="left"/>
              <w:rPr>
                <w:rFonts w:hint="default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  <w:t>学科素养H</w:t>
            </w:r>
          </w:p>
        </w:tc>
        <w:tc>
          <w:tcPr>
            <w:tcW w:w="5657" w:type="dxa"/>
            <w:vAlign w:val="center"/>
          </w:tcPr>
          <w:p>
            <w:pPr>
              <w:jc w:val="left"/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  <w:t>3.2 树立生命观、进化观的意识，了解学科发展历史和前沿动态，系统掌握生物科学专业基础知识、基本理论，理解生物学科核心素养的内涵。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b/>
                <w:szCs w:val="24"/>
              </w:rPr>
            </w:pPr>
            <w:r>
              <w:rPr>
                <w:rFonts w:hint="eastAsia" w:ascii="楷体_GB2312" w:hAnsi="楷体" w:eastAsia="楷体_GB2312"/>
                <w:b/>
                <w:szCs w:val="24"/>
              </w:rPr>
              <w:t>课程目标2</w:t>
            </w:r>
          </w:p>
        </w:tc>
        <w:tc>
          <w:tcPr>
            <w:tcW w:w="1832" w:type="dxa"/>
            <w:vAlign w:val="center"/>
          </w:tcPr>
          <w:p>
            <w:pPr>
              <w:pStyle w:val="15"/>
              <w:ind w:firstLine="0" w:firstLineChars="0"/>
              <w:jc w:val="left"/>
              <w:rPr>
                <w:rFonts w:hint="default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  <w:t>学科素养L</w:t>
            </w:r>
          </w:p>
        </w:tc>
        <w:tc>
          <w:tcPr>
            <w:tcW w:w="5657" w:type="dxa"/>
            <w:vAlign w:val="center"/>
          </w:tcPr>
          <w:p>
            <w:pPr>
              <w:pStyle w:val="20"/>
              <w:keepNext w:val="0"/>
              <w:keepLines w:val="0"/>
              <w:widowControl/>
              <w:suppressLineNumbers w:val="0"/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  <w:t>3.4 掌握运用生命观念、理性思维和科学方法帮助学生形成生物核心素养的策略与方法，将教学和日常生活相结合，促进学生解决现实生活中的生物学问题。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243" w:type="dxa"/>
            <w:vAlign w:val="center"/>
          </w:tcPr>
          <w:p>
            <w:pPr>
              <w:jc w:val="center"/>
              <w:rPr>
                <w:rFonts w:hint="default" w:ascii="楷体_GB2312" w:hAnsi="楷体" w:eastAsia="楷体_GB2312"/>
                <w:b/>
                <w:szCs w:val="24"/>
                <w:lang w:val="en-US" w:eastAsia="zh-CN"/>
              </w:rPr>
            </w:pPr>
            <w:r>
              <w:rPr>
                <w:rFonts w:hint="eastAsia" w:ascii="楷体_GB2312" w:hAnsi="楷体" w:eastAsia="楷体_GB2312"/>
                <w:b/>
                <w:szCs w:val="24"/>
              </w:rPr>
              <w:t>课程目标</w:t>
            </w:r>
            <w:r>
              <w:rPr>
                <w:rFonts w:hint="default" w:ascii="楷体_GB2312" w:hAnsi="楷体" w:eastAsia="楷体_GB2312"/>
                <w:b/>
                <w:szCs w:val="24"/>
                <w:lang w:val="en-US" w:eastAsia="zh-CN"/>
              </w:rPr>
              <w:t>3</w:t>
            </w:r>
          </w:p>
        </w:tc>
        <w:tc>
          <w:tcPr>
            <w:tcW w:w="1832" w:type="dxa"/>
            <w:vAlign w:val="center"/>
          </w:tcPr>
          <w:p>
            <w:pPr>
              <w:jc w:val="left"/>
              <w:rPr>
                <w:rFonts w:hint="default" w:ascii="楷体_GB2312" w:hAnsi="楷体" w:eastAsia="楷体_GB2312"/>
                <w:szCs w:val="21"/>
                <w:lang w:val="en-US"/>
              </w:rPr>
            </w:pP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8</w:t>
            </w:r>
            <w:r>
              <w:rPr>
                <w:rFonts w:hint="eastAsia" w:ascii="楷体_GB2312" w:hAnsi="楷体" w:eastAsia="楷体_GB2312"/>
                <w:szCs w:val="21"/>
                <w:lang w:val="en-US" w:eastAsia="zh-Hans"/>
              </w:rPr>
              <w:t>.</w:t>
            </w:r>
            <w:r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  <w:t>沟通合作M</w:t>
            </w:r>
          </w:p>
        </w:tc>
        <w:tc>
          <w:tcPr>
            <w:tcW w:w="5657" w:type="dxa"/>
            <w:vAlign w:val="center"/>
          </w:tcPr>
          <w:p>
            <w:pPr>
              <w:jc w:val="left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  <w:t>8.2 理解团队协作、学习共同体、教育教学共同体在教育教学、促进中学生自主成长和教师专业发展中的作用，能组织和参与团队活动，积极地与老师、同学研讨交流与合作，获得小组互助合作学习的实践体验。</w:t>
            </w:r>
          </w:p>
        </w:tc>
      </w:tr>
    </w:tbl>
    <w:p>
      <w:pPr>
        <w:rPr>
          <w:rFonts w:hint="eastAsia" w:ascii="宋体" w:hAnsi="宋体" w:eastAsia="宋体" w:cs="宋体"/>
          <w:kern w:val="0"/>
          <w:sz w:val="24"/>
          <w:szCs w:val="24"/>
          <w:lang w:bidi="ar"/>
        </w:rPr>
      </w:pPr>
    </w:p>
    <w:p>
      <w:pPr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bidi="ar"/>
        </w:rPr>
      </w:pPr>
    </w:p>
    <w:p>
      <w:pPr>
        <w:ind w:firstLine="482" w:firstLineChars="200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 xml:space="preserve"> (三)课程的教学目标与毕业要求指标点对应矩阵关系</w:t>
      </w:r>
    </w:p>
    <w:tbl>
      <w:tblPr>
        <w:tblStyle w:val="8"/>
        <w:tblpPr w:leftFromText="180" w:rightFromText="180" w:vertAnchor="text" w:horzAnchor="page" w:tblpX="1935" w:tblpY="15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6"/>
        <w:gridCol w:w="2049"/>
        <w:gridCol w:w="1960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476" w:type="dxa"/>
          </w:tcPr>
          <w:p>
            <w:pPr>
              <w:jc w:val="left"/>
              <w:rPr>
                <w:rFonts w:ascii="楷体_GB2312" w:hAnsi="楷体" w:eastAsia="楷体_GB2312"/>
                <w:szCs w:val="21"/>
              </w:rPr>
            </w:pPr>
            <w:r>
              <w:rPr>
                <w:rFonts w:ascii="楷体_GB2312" w:hAnsi="楷体" w:eastAsia="楷体_GB2312"/>
                <w:szCs w:val="21"/>
              </w:rPr>
              <w:t>教学目标毕业要求</w:t>
            </w:r>
          </w:p>
        </w:tc>
        <w:tc>
          <w:tcPr>
            <w:tcW w:w="2049" w:type="dxa"/>
          </w:tcPr>
          <w:p>
            <w:pPr>
              <w:ind w:firstLine="210" w:firstLineChars="100"/>
              <w:jc w:val="left"/>
              <w:rPr>
                <w:rFonts w:ascii="楷体_GB2312" w:hAnsi="楷体" w:eastAsia="楷体_GB2312"/>
                <w:szCs w:val="21"/>
              </w:rPr>
            </w:pPr>
            <w:r>
              <w:rPr>
                <w:rFonts w:ascii="楷体_GB2312" w:hAnsi="楷体" w:eastAsia="楷体_GB2312"/>
                <w:szCs w:val="21"/>
              </w:rPr>
              <w:t>毕业要求指标</w:t>
            </w: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3.</w:t>
            </w:r>
            <w:r>
              <w:rPr>
                <w:rFonts w:ascii="楷体_GB2312" w:hAnsi="楷体" w:eastAsia="楷体_GB2312"/>
                <w:szCs w:val="21"/>
              </w:rPr>
              <w:t>2</w:t>
            </w:r>
          </w:p>
        </w:tc>
        <w:tc>
          <w:tcPr>
            <w:tcW w:w="1960" w:type="dxa"/>
          </w:tcPr>
          <w:p>
            <w:pPr>
              <w:jc w:val="left"/>
              <w:rPr>
                <w:rFonts w:hint="default" w:ascii="楷体_GB2312" w:hAnsi="楷体" w:eastAsia="楷体_GB2312"/>
                <w:szCs w:val="21"/>
                <w:lang w:val="en-US" w:eastAsia="zh-CN"/>
              </w:rPr>
            </w:pPr>
            <w:r>
              <w:rPr>
                <w:rFonts w:ascii="楷体_GB2312" w:hAnsi="楷体" w:eastAsia="楷体_GB2312"/>
                <w:szCs w:val="21"/>
              </w:rPr>
              <w:t>毕业要求指标</w:t>
            </w: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3.4</w:t>
            </w:r>
          </w:p>
        </w:tc>
        <w:tc>
          <w:tcPr>
            <w:tcW w:w="2037" w:type="dxa"/>
          </w:tcPr>
          <w:p>
            <w:pPr>
              <w:jc w:val="left"/>
              <w:rPr>
                <w:rFonts w:hint="default" w:ascii="楷体_GB2312" w:hAnsi="楷体" w:eastAsia="楷体_GB2312"/>
                <w:szCs w:val="21"/>
                <w:lang w:val="en-US" w:eastAsia="zh-CN"/>
              </w:rPr>
            </w:pPr>
            <w:r>
              <w:rPr>
                <w:rFonts w:ascii="楷体_GB2312" w:hAnsi="楷体" w:eastAsia="楷体_GB2312"/>
                <w:szCs w:val="21"/>
              </w:rPr>
              <w:t>毕业要求指标</w:t>
            </w: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6" w:type="dxa"/>
          </w:tcPr>
          <w:p>
            <w:pPr>
              <w:jc w:val="left"/>
              <w:rPr>
                <w:rFonts w:ascii="楷体_GB2312" w:hAnsi="楷体" w:eastAsia="楷体_GB2312"/>
                <w:szCs w:val="21"/>
              </w:rPr>
            </w:pPr>
            <w:r>
              <w:rPr>
                <w:rFonts w:ascii="楷体_GB2312" w:hAnsi="楷体" w:eastAsia="楷体_GB2312"/>
                <w:szCs w:val="21"/>
              </w:rPr>
              <w:t>课程教学目标1</w:t>
            </w:r>
          </w:p>
        </w:tc>
        <w:tc>
          <w:tcPr>
            <w:tcW w:w="2049" w:type="dxa"/>
          </w:tcPr>
          <w:p>
            <w:pPr>
              <w:jc w:val="left"/>
              <w:rPr>
                <w:rFonts w:hint="eastAsia" w:ascii="楷体_GB2312" w:hAnsi="楷体" w:eastAsia="楷体_GB2312"/>
                <w:szCs w:val="21"/>
                <w:lang w:eastAsia="zh-CN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0.</w:t>
            </w: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8</w:t>
            </w:r>
          </w:p>
        </w:tc>
        <w:tc>
          <w:tcPr>
            <w:tcW w:w="1960" w:type="dxa"/>
          </w:tcPr>
          <w:p>
            <w:pPr>
              <w:jc w:val="left"/>
              <w:rPr>
                <w:rFonts w:hint="eastAsia" w:ascii="楷体_GB2312" w:hAnsi="楷体" w:eastAsia="楷体_GB2312"/>
                <w:szCs w:val="21"/>
                <w:lang w:eastAsia="zh-CN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0.</w:t>
            </w: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1</w:t>
            </w:r>
          </w:p>
        </w:tc>
        <w:tc>
          <w:tcPr>
            <w:tcW w:w="2037" w:type="dxa"/>
          </w:tcPr>
          <w:p>
            <w:pPr>
              <w:jc w:val="left"/>
              <w:rPr>
                <w:rFonts w:hint="eastAsia" w:ascii="楷体_GB2312" w:hAnsi="楷体" w:eastAsia="楷体_GB2312"/>
                <w:szCs w:val="21"/>
                <w:lang w:eastAsia="zh-CN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0.</w:t>
            </w: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6" w:type="dxa"/>
          </w:tcPr>
          <w:p>
            <w:pPr>
              <w:jc w:val="left"/>
              <w:rPr>
                <w:rFonts w:ascii="楷体_GB2312" w:hAnsi="楷体" w:eastAsia="楷体_GB2312"/>
                <w:szCs w:val="21"/>
              </w:rPr>
            </w:pPr>
            <w:r>
              <w:rPr>
                <w:rFonts w:ascii="楷体_GB2312" w:hAnsi="楷体" w:eastAsia="楷体_GB2312"/>
                <w:szCs w:val="21"/>
              </w:rPr>
              <w:t>课程教学目标</w:t>
            </w:r>
            <w:r>
              <w:rPr>
                <w:rFonts w:hint="eastAsia" w:ascii="楷体_GB2312" w:hAnsi="楷体" w:eastAsia="楷体_GB2312"/>
                <w:szCs w:val="21"/>
              </w:rPr>
              <w:t>2</w:t>
            </w:r>
          </w:p>
        </w:tc>
        <w:tc>
          <w:tcPr>
            <w:tcW w:w="2049" w:type="dxa"/>
          </w:tcPr>
          <w:p>
            <w:pPr>
              <w:jc w:val="left"/>
              <w:rPr>
                <w:rFonts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0.2</w:t>
            </w:r>
          </w:p>
        </w:tc>
        <w:tc>
          <w:tcPr>
            <w:tcW w:w="1960" w:type="dxa"/>
          </w:tcPr>
          <w:p>
            <w:pPr>
              <w:jc w:val="left"/>
              <w:rPr>
                <w:rFonts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0.4</w:t>
            </w:r>
          </w:p>
        </w:tc>
        <w:tc>
          <w:tcPr>
            <w:tcW w:w="2037" w:type="dxa"/>
          </w:tcPr>
          <w:p>
            <w:pPr>
              <w:jc w:val="left"/>
              <w:rPr>
                <w:rFonts w:hint="eastAsia" w:ascii="楷体_GB2312" w:hAnsi="楷体" w:eastAsia="楷体_GB2312"/>
                <w:szCs w:val="21"/>
                <w:lang w:eastAsia="zh-CN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0.</w:t>
            </w: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6" w:type="dxa"/>
          </w:tcPr>
          <w:p>
            <w:pPr>
              <w:jc w:val="left"/>
              <w:rPr>
                <w:rFonts w:ascii="楷体_GB2312" w:hAnsi="楷体" w:eastAsia="楷体_GB2312"/>
                <w:szCs w:val="21"/>
              </w:rPr>
            </w:pPr>
            <w:r>
              <w:rPr>
                <w:rFonts w:ascii="楷体_GB2312" w:hAnsi="楷体" w:eastAsia="楷体_GB2312"/>
                <w:szCs w:val="21"/>
              </w:rPr>
              <w:t>课程教学目标</w:t>
            </w:r>
            <w:r>
              <w:rPr>
                <w:rFonts w:hint="default" w:ascii="楷体_GB2312" w:hAnsi="楷体" w:eastAsia="楷体_GB2312"/>
                <w:szCs w:val="21"/>
                <w:lang w:val="en-US"/>
              </w:rPr>
              <w:t>3</w:t>
            </w:r>
          </w:p>
        </w:tc>
        <w:tc>
          <w:tcPr>
            <w:tcW w:w="2049" w:type="dxa"/>
            <w:vAlign w:val="top"/>
          </w:tcPr>
          <w:p>
            <w:pPr>
              <w:jc w:val="left"/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0.2</w:t>
            </w:r>
          </w:p>
        </w:tc>
        <w:tc>
          <w:tcPr>
            <w:tcW w:w="1960" w:type="dxa"/>
            <w:vAlign w:val="top"/>
          </w:tcPr>
          <w:p>
            <w:pPr>
              <w:jc w:val="left"/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0.4</w:t>
            </w:r>
          </w:p>
        </w:tc>
        <w:tc>
          <w:tcPr>
            <w:tcW w:w="2037" w:type="dxa"/>
            <w:vAlign w:val="top"/>
          </w:tcPr>
          <w:p>
            <w:pPr>
              <w:jc w:val="left"/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0.</w:t>
            </w: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4</w:t>
            </w:r>
          </w:p>
        </w:tc>
      </w:tr>
    </w:tbl>
    <w:p>
      <w:pPr>
        <w:widowControl/>
        <w:jc w:val="left"/>
        <w:rPr>
          <w:rFonts w:ascii="宋体" w:hAnsi="宋体" w:eastAsia="宋体" w:cs="宋体"/>
          <w:color w:val="FF0000"/>
          <w:kern w:val="0"/>
          <w:sz w:val="24"/>
          <w:szCs w:val="24"/>
          <w:lang w:bidi="ar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注：</w:t>
      </w:r>
      <w:r>
        <w:rPr>
          <w:rFonts w:ascii="宋体" w:hAnsi="宋体" w:eastAsia="宋体" w:cs="宋体"/>
          <w:kern w:val="0"/>
          <w:sz w:val="24"/>
          <w:szCs w:val="24"/>
          <w:lang w:bidi="ar"/>
        </w:rPr>
        <w:t>将一个毕业要求指标点分解到对应课程教学目标中，每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一</w:t>
      </w:r>
      <w:r>
        <w:rPr>
          <w:rFonts w:ascii="宋体" w:hAnsi="宋体" w:eastAsia="宋体" w:cs="宋体"/>
          <w:kern w:val="0"/>
          <w:sz w:val="24"/>
          <w:szCs w:val="24"/>
          <w:lang w:bidi="ar"/>
        </w:rPr>
        <w:t>列的权重Σ=1</w:t>
      </w:r>
    </w:p>
    <w:p>
      <w:pPr>
        <w:jc w:val="left"/>
        <w:rPr>
          <w:rFonts w:ascii="宋体" w:hAnsi="宋体"/>
          <w:b/>
          <w:color w:val="000000"/>
          <w:sz w:val="24"/>
        </w:rPr>
      </w:pPr>
    </w:p>
    <w:p>
      <w:pPr>
        <w:jc w:val="lef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四、教学内容</w:t>
      </w:r>
    </w:p>
    <w:p>
      <w:pPr>
        <w:kinsoku w:val="0"/>
        <w:overflowPunct w:val="0"/>
        <w:autoSpaceDE w:val="0"/>
        <w:autoSpaceDN w:val="0"/>
        <w:spacing w:line="360" w:lineRule="auto"/>
        <w:ind w:firstLine="602" w:firstLineChars="250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（一）教学内容</w:t>
      </w:r>
      <w:r>
        <w:rPr>
          <w:rFonts w:ascii="楷体_GB2312" w:eastAsia="楷体_GB2312"/>
          <w:b/>
          <w:sz w:val="24"/>
        </w:rPr>
        <w:t>与</w:t>
      </w:r>
      <w:r>
        <w:rPr>
          <w:rFonts w:hint="eastAsia" w:ascii="楷体_GB2312" w:eastAsia="楷体_GB2312"/>
          <w:b/>
          <w:sz w:val="24"/>
        </w:rPr>
        <w:t>课程目标</w:t>
      </w:r>
      <w:r>
        <w:rPr>
          <w:rFonts w:ascii="楷体_GB2312" w:eastAsia="楷体_GB2312"/>
          <w:b/>
          <w:sz w:val="24"/>
        </w:rPr>
        <w:t>的关系</w:t>
      </w:r>
    </w:p>
    <w:tbl>
      <w:tblPr>
        <w:tblStyle w:val="8"/>
        <w:tblpPr w:leftFromText="180" w:rightFromText="180" w:vertAnchor="text" w:horzAnchor="page" w:tblpX="1517" w:tblpY="247"/>
        <w:tblOverlap w:val="never"/>
        <w:tblW w:w="87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1104"/>
        <w:gridCol w:w="1861"/>
        <w:gridCol w:w="1417"/>
        <w:gridCol w:w="851"/>
        <w:gridCol w:w="992"/>
        <w:gridCol w:w="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38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b/>
                <w:szCs w:val="21"/>
              </w:rPr>
            </w:pPr>
            <w:r>
              <w:rPr>
                <w:rFonts w:hint="eastAsia" w:ascii="楷体_GB2312" w:hAnsi="楷体" w:eastAsia="楷体_GB2312"/>
                <w:b/>
                <w:szCs w:val="21"/>
              </w:rPr>
              <w:t>课程内容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b/>
                <w:szCs w:val="21"/>
              </w:rPr>
            </w:pPr>
            <w:r>
              <w:rPr>
                <w:rFonts w:hint="eastAsia" w:ascii="楷体_GB2312" w:hAnsi="楷体" w:eastAsia="楷体_GB2312"/>
                <w:b/>
                <w:szCs w:val="21"/>
              </w:rPr>
              <w:t>对应章节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b/>
                <w:szCs w:val="21"/>
              </w:rPr>
            </w:pPr>
            <w:r>
              <w:rPr>
                <w:rFonts w:hint="eastAsia" w:ascii="楷体_GB2312" w:hAnsi="楷体" w:eastAsia="楷体_GB2312"/>
                <w:b/>
                <w:szCs w:val="21"/>
              </w:rPr>
              <w:t>教学方法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b/>
                <w:szCs w:val="21"/>
              </w:rPr>
            </w:pPr>
            <w:r>
              <w:rPr>
                <w:rFonts w:hint="eastAsia" w:ascii="楷体_GB2312" w:hAnsi="楷体" w:eastAsia="楷体_GB2312"/>
                <w:b/>
                <w:szCs w:val="21"/>
              </w:rPr>
              <w:t>支撑的主要课程目标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b/>
                <w:szCs w:val="21"/>
              </w:rPr>
            </w:pPr>
            <w:r>
              <w:rPr>
                <w:rFonts w:hint="eastAsia" w:ascii="楷体_GB2312" w:hAnsi="楷体" w:eastAsia="楷体_GB2312"/>
                <w:b/>
                <w:szCs w:val="21"/>
              </w:rPr>
              <w:t>理论学时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b/>
                <w:szCs w:val="21"/>
              </w:rPr>
            </w:pPr>
            <w:r>
              <w:rPr>
                <w:rFonts w:hint="eastAsia" w:ascii="楷体_GB2312" w:hAnsi="楷体" w:eastAsia="楷体_GB2312"/>
                <w:b/>
                <w:szCs w:val="21"/>
              </w:rPr>
              <w:t>实验/实践学时</w:t>
            </w: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b/>
                <w:szCs w:val="21"/>
              </w:rPr>
            </w:pPr>
            <w:r>
              <w:rPr>
                <w:rFonts w:hint="eastAsia" w:ascii="楷体_GB2312" w:hAnsi="楷体" w:eastAsia="楷体_GB2312"/>
                <w:b/>
                <w:szCs w:val="21"/>
              </w:rPr>
              <w:t>学时安排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第一知识模块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</w:t>
            </w:r>
            <w:r>
              <w:rPr>
                <w:rFonts w:hint="eastAsia" w:ascii="楷体_GB2312" w:hAnsi="楷体" w:eastAsia="楷体_GB2312"/>
                <w:szCs w:val="21"/>
                <w:lang w:eastAsia="zh-Hans"/>
              </w:rPr>
              <w:t>1</w:t>
            </w:r>
            <w:r>
              <w:rPr>
                <w:rFonts w:hint="eastAsia" w:ascii="楷体_GB2312" w:hAnsi="楷体" w:eastAsia="楷体_GB2312"/>
                <w:szCs w:val="21"/>
              </w:rPr>
              <w:t>章</w:t>
            </w:r>
          </w:p>
        </w:tc>
        <w:tc>
          <w:tcPr>
            <w:tcW w:w="1861" w:type="dxa"/>
            <w:vAlign w:val="center"/>
          </w:tcPr>
          <w:p>
            <w:pPr>
              <w:jc w:val="left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讲授法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课程目标2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楷体_GB2312" w:hAnsi="楷体" w:eastAsia="楷体_GB2312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第二知识模块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</w:t>
            </w:r>
            <w:r>
              <w:rPr>
                <w:rFonts w:hint="eastAsia" w:ascii="楷体_GB2312" w:hAnsi="楷体" w:eastAsia="楷体_GB2312"/>
                <w:szCs w:val="21"/>
                <w:lang w:eastAsia="zh-Hans"/>
              </w:rPr>
              <w:t>2</w:t>
            </w:r>
            <w:r>
              <w:rPr>
                <w:rFonts w:hint="eastAsia" w:ascii="楷体_GB2312" w:hAnsi="楷体" w:eastAsia="楷体_GB2312"/>
                <w:szCs w:val="21"/>
              </w:rPr>
              <w:t>章</w:t>
            </w:r>
          </w:p>
        </w:tc>
        <w:tc>
          <w:tcPr>
            <w:tcW w:w="1861" w:type="dxa"/>
            <w:vAlign w:val="center"/>
          </w:tcPr>
          <w:p>
            <w:pPr>
              <w:jc w:val="left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讲授法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课程目标1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楷体_GB2312" w:hAnsi="楷体" w:eastAsia="楷体_GB2312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38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第三知识模块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</w:t>
            </w:r>
            <w:r>
              <w:rPr>
                <w:rFonts w:hint="eastAsia" w:ascii="楷体_GB2312" w:hAnsi="楷体" w:eastAsia="楷体_GB2312"/>
                <w:szCs w:val="21"/>
                <w:lang w:eastAsia="zh-Hans"/>
              </w:rPr>
              <w:t>3</w:t>
            </w:r>
            <w:r>
              <w:rPr>
                <w:rFonts w:hint="eastAsia" w:ascii="楷体_GB2312" w:hAnsi="楷体" w:eastAsia="楷体_GB2312"/>
                <w:szCs w:val="21"/>
              </w:rPr>
              <w:t>章</w:t>
            </w:r>
          </w:p>
        </w:tc>
        <w:tc>
          <w:tcPr>
            <w:tcW w:w="1861" w:type="dxa"/>
            <w:vAlign w:val="center"/>
          </w:tcPr>
          <w:p>
            <w:pPr>
              <w:jc w:val="left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讲授法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课程目标1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楷体_GB2312" w:hAnsi="楷体" w:eastAsia="楷体_GB2312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楷体_GB2312" w:hAnsi="楷体" w:eastAsia="楷体_GB2312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第四知识模块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</w:t>
            </w:r>
            <w:r>
              <w:rPr>
                <w:rFonts w:hint="eastAsia" w:ascii="楷体_GB2312" w:hAnsi="楷体" w:eastAsia="楷体_GB2312"/>
                <w:szCs w:val="21"/>
                <w:lang w:eastAsia="zh-Hans"/>
              </w:rPr>
              <w:t>4</w:t>
            </w:r>
            <w:r>
              <w:rPr>
                <w:rFonts w:hint="eastAsia" w:ascii="楷体_GB2312" w:hAnsi="楷体" w:eastAsia="楷体_GB2312"/>
                <w:szCs w:val="21"/>
              </w:rPr>
              <w:t>章</w:t>
            </w:r>
          </w:p>
        </w:tc>
        <w:tc>
          <w:tcPr>
            <w:tcW w:w="1861" w:type="dxa"/>
            <w:vAlign w:val="center"/>
          </w:tcPr>
          <w:p>
            <w:pPr>
              <w:jc w:val="left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讲授法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课程目标1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楷体_GB2312" w:hAnsi="楷体" w:eastAsia="楷体_GB2312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</w:t>
            </w:r>
            <w:r>
              <w:rPr>
                <w:rFonts w:hint="eastAsia" w:ascii="楷体_GB2312" w:hAnsi="楷体" w:eastAsia="楷体_GB2312"/>
                <w:szCs w:val="21"/>
                <w:lang w:eastAsia="zh-Hans"/>
              </w:rPr>
              <w:t>五</w:t>
            </w:r>
            <w:r>
              <w:rPr>
                <w:rFonts w:hint="eastAsia" w:ascii="楷体_GB2312" w:hAnsi="楷体" w:eastAsia="楷体_GB2312"/>
                <w:szCs w:val="21"/>
              </w:rPr>
              <w:t>知识模块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</w:t>
            </w:r>
            <w:r>
              <w:rPr>
                <w:rFonts w:hint="eastAsia" w:ascii="楷体_GB2312" w:hAnsi="楷体" w:eastAsia="楷体_GB2312"/>
                <w:szCs w:val="21"/>
                <w:lang w:eastAsia="zh-Hans"/>
              </w:rPr>
              <w:t>5</w:t>
            </w:r>
            <w:r>
              <w:rPr>
                <w:rFonts w:hint="eastAsia" w:ascii="楷体_GB2312" w:hAnsi="楷体" w:eastAsia="楷体_GB2312"/>
                <w:szCs w:val="21"/>
              </w:rPr>
              <w:t>章</w:t>
            </w:r>
          </w:p>
        </w:tc>
        <w:tc>
          <w:tcPr>
            <w:tcW w:w="1861" w:type="dxa"/>
            <w:vAlign w:val="center"/>
          </w:tcPr>
          <w:p>
            <w:pPr>
              <w:jc w:val="left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讲授法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课程目标1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楷体_GB2312" w:hAnsi="楷体" w:eastAsia="楷体_GB2312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</w:t>
            </w:r>
            <w:r>
              <w:rPr>
                <w:rFonts w:hint="eastAsia" w:ascii="楷体_GB2312" w:hAnsi="楷体" w:eastAsia="楷体_GB2312"/>
                <w:szCs w:val="21"/>
                <w:lang w:eastAsia="zh-Hans"/>
              </w:rPr>
              <w:t>六</w:t>
            </w:r>
            <w:r>
              <w:rPr>
                <w:rFonts w:hint="eastAsia" w:ascii="楷体_GB2312" w:hAnsi="楷体" w:eastAsia="楷体_GB2312"/>
                <w:szCs w:val="21"/>
              </w:rPr>
              <w:t>知识模块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</w:t>
            </w:r>
            <w:r>
              <w:rPr>
                <w:rFonts w:hint="eastAsia" w:ascii="楷体_GB2312" w:hAnsi="楷体" w:eastAsia="楷体_GB2312"/>
                <w:szCs w:val="21"/>
                <w:lang w:eastAsia="zh-Hans"/>
              </w:rPr>
              <w:t>6</w:t>
            </w:r>
            <w:r>
              <w:rPr>
                <w:rFonts w:hint="eastAsia" w:ascii="楷体_GB2312" w:hAnsi="楷体" w:eastAsia="楷体_GB2312"/>
                <w:szCs w:val="21"/>
              </w:rPr>
              <w:t>章</w:t>
            </w:r>
          </w:p>
        </w:tc>
        <w:tc>
          <w:tcPr>
            <w:tcW w:w="1861" w:type="dxa"/>
            <w:vAlign w:val="center"/>
          </w:tcPr>
          <w:p>
            <w:pPr>
              <w:jc w:val="left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讲授法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课程目标1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楷体_GB2312" w:hAnsi="楷体" w:eastAsia="楷体_GB2312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楷体_GB2312" w:hAnsi="楷体" w:eastAsia="楷体_GB2312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</w:t>
            </w:r>
            <w:r>
              <w:rPr>
                <w:rFonts w:hint="eastAsia" w:ascii="楷体_GB2312" w:hAnsi="楷体" w:eastAsia="楷体_GB2312"/>
                <w:szCs w:val="21"/>
                <w:lang w:eastAsia="zh-Hans"/>
              </w:rPr>
              <w:t>七</w:t>
            </w:r>
            <w:r>
              <w:rPr>
                <w:rFonts w:hint="eastAsia" w:ascii="楷体_GB2312" w:hAnsi="楷体" w:eastAsia="楷体_GB2312"/>
                <w:szCs w:val="21"/>
              </w:rPr>
              <w:t>知识模块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</w:t>
            </w:r>
            <w:r>
              <w:rPr>
                <w:rFonts w:hint="eastAsia" w:ascii="楷体_GB2312" w:hAnsi="楷体" w:eastAsia="楷体_GB2312"/>
                <w:szCs w:val="21"/>
                <w:lang w:eastAsia="zh-Hans"/>
              </w:rPr>
              <w:t>7</w:t>
            </w:r>
            <w:r>
              <w:rPr>
                <w:rFonts w:hint="eastAsia" w:ascii="楷体_GB2312" w:hAnsi="楷体" w:eastAsia="楷体_GB2312"/>
                <w:szCs w:val="21"/>
              </w:rPr>
              <w:t>章</w:t>
            </w:r>
          </w:p>
        </w:tc>
        <w:tc>
          <w:tcPr>
            <w:tcW w:w="1861" w:type="dxa"/>
            <w:vAlign w:val="center"/>
          </w:tcPr>
          <w:p>
            <w:pPr>
              <w:jc w:val="left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讲授法、专题研讨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  <w:lang w:eastAsia="zh-CN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课程目标</w:t>
            </w: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楷体_GB2312" w:hAnsi="楷体" w:eastAsia="楷体_GB2312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楷体_GB2312" w:hAnsi="楷体" w:eastAsia="楷体_GB2312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第八知识模块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</w:t>
            </w: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8</w:t>
            </w:r>
            <w:r>
              <w:rPr>
                <w:rFonts w:hint="eastAsia" w:ascii="楷体_GB2312" w:hAnsi="楷体" w:eastAsia="楷体_GB2312"/>
                <w:szCs w:val="21"/>
              </w:rPr>
              <w:t>章</w:t>
            </w:r>
          </w:p>
        </w:tc>
        <w:tc>
          <w:tcPr>
            <w:tcW w:w="1861" w:type="dxa"/>
            <w:vAlign w:val="center"/>
          </w:tcPr>
          <w:p>
            <w:pPr>
              <w:jc w:val="left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讲授法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  <w:lang w:eastAsia="zh-CN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课程目标</w:t>
            </w: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楷体_GB2312" w:hAnsi="楷体" w:eastAsia="楷体_GB2312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楷体_GB2312" w:hAnsi="楷体" w:eastAsia="楷体_GB2312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第八知识模块</w:t>
            </w:r>
          </w:p>
        </w:tc>
        <w:tc>
          <w:tcPr>
            <w:tcW w:w="1104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第</w:t>
            </w: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8</w:t>
            </w:r>
            <w:r>
              <w:rPr>
                <w:rFonts w:hint="eastAsia" w:ascii="楷体_GB2312" w:hAnsi="楷体" w:eastAsia="楷体_GB2312"/>
                <w:szCs w:val="21"/>
              </w:rPr>
              <w:t>章</w:t>
            </w:r>
          </w:p>
        </w:tc>
        <w:tc>
          <w:tcPr>
            <w:tcW w:w="1861" w:type="dxa"/>
            <w:vAlign w:val="center"/>
          </w:tcPr>
          <w:p>
            <w:pPr>
              <w:jc w:val="left"/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讲授法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课程目标</w:t>
            </w: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楷体_GB2312" w:hAnsi="楷体" w:eastAsia="楷体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0" w:type="dxa"/>
            <w:gridSpan w:val="4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合计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64</w:t>
            </w:r>
            <w:r>
              <w:rPr>
                <w:rFonts w:hint="eastAsia" w:ascii="楷体_GB2312" w:hAnsi="楷体" w:eastAsia="楷体_GB2312"/>
                <w:szCs w:val="21"/>
              </w:rPr>
              <w:t>学时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楷体_GB2312" w:hAnsi="楷体" w:eastAsia="楷体_GB2312"/>
                <w:szCs w:val="21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 xml:space="preserve"> </w:t>
            </w: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hint="default" w:ascii="楷体_GB2312" w:hAnsi="楷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楷体" w:eastAsia="楷体_GB2312"/>
                <w:szCs w:val="21"/>
              </w:rPr>
              <w:t>总学时：</w:t>
            </w:r>
            <w:r>
              <w:rPr>
                <w:rFonts w:hint="eastAsia" w:ascii="楷体_GB2312" w:hAnsi="楷体" w:eastAsia="楷体_GB2312"/>
                <w:szCs w:val="21"/>
                <w:lang w:val="en-US" w:eastAsia="zh-CN"/>
              </w:rPr>
              <w:t>64</w:t>
            </w:r>
          </w:p>
        </w:tc>
      </w:tr>
    </w:tbl>
    <w:p>
      <w:pPr>
        <w:kinsoku w:val="0"/>
        <w:overflowPunct w:val="0"/>
        <w:autoSpaceDE w:val="0"/>
        <w:autoSpaceDN w:val="0"/>
        <w:spacing w:line="360" w:lineRule="auto"/>
        <w:ind w:firstLine="482" w:firstLineChars="200"/>
        <w:rPr>
          <w:rFonts w:ascii="宋体" w:hAnsi="宋体" w:eastAsia="宋体" w:cs="宋体"/>
          <w:b/>
          <w:bCs/>
          <w:color w:val="FF0000"/>
          <w:sz w:val="24"/>
        </w:rPr>
      </w:pPr>
    </w:p>
    <w:p>
      <w:pPr>
        <w:kinsoku w:val="0"/>
        <w:overflowPunct w:val="0"/>
        <w:autoSpaceDE w:val="0"/>
        <w:autoSpaceDN w:val="0"/>
        <w:spacing w:line="360" w:lineRule="auto"/>
        <w:ind w:firstLine="482" w:firstLineChars="200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b/>
          <w:sz w:val="24"/>
        </w:rPr>
        <w:t>（二）教学目标的具体落实（具体章节与课程目标的对应矩阵，其中L表示低相关，M表示中等相关，H表示高度相关）</w:t>
      </w:r>
    </w:p>
    <w:p>
      <w:pPr>
        <w:kinsoku w:val="0"/>
        <w:overflowPunct w:val="0"/>
        <w:autoSpaceDE w:val="0"/>
        <w:autoSpaceDN w:val="0"/>
        <w:spacing w:line="360" w:lineRule="auto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教学内容与课程目标对应矩阵</w:t>
      </w:r>
    </w:p>
    <w:tbl>
      <w:tblPr>
        <w:tblStyle w:val="7"/>
        <w:tblpPr w:leftFromText="180" w:rightFromText="180" w:vertAnchor="text" w:horzAnchor="page" w:tblpX="1867" w:tblpY="193"/>
        <w:tblOverlap w:val="never"/>
        <w:tblW w:w="83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1847"/>
        <w:gridCol w:w="2552"/>
        <w:gridCol w:w="2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7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课程目标1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课程目标2</w:t>
            </w:r>
          </w:p>
        </w:tc>
        <w:tc>
          <w:tcPr>
            <w:tcW w:w="22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课程目标3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7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第一知识模块</w:t>
            </w:r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L</w:t>
            </w:r>
          </w:p>
        </w:tc>
        <w:tc>
          <w:tcPr>
            <w:tcW w:w="22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7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第二知识模块</w:t>
            </w:r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H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2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7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第三知识模块</w:t>
            </w:r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H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2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7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第四知识模块</w:t>
            </w:r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2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7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第五知识模块</w:t>
            </w:r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H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7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第六知识模块</w:t>
            </w:r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H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2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7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第七知识模块</w:t>
            </w:r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7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第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八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知识模块</w:t>
            </w:r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H</w:t>
            </w:r>
          </w:p>
        </w:tc>
      </w:tr>
    </w:tbl>
    <w:p>
      <w:pPr>
        <w:kinsoku w:val="0"/>
        <w:overflowPunct w:val="0"/>
        <w:autoSpaceDE w:val="0"/>
        <w:autoSpaceDN w:val="0"/>
        <w:spacing w:line="360" w:lineRule="auto"/>
        <w:ind w:firstLine="482" w:firstLineChars="200"/>
        <w:rPr>
          <w:rFonts w:ascii="楷体_GB2312" w:eastAsia="楷体_GB2312"/>
          <w:b/>
          <w:sz w:val="24"/>
        </w:rPr>
      </w:pPr>
    </w:p>
    <w:p>
      <w:pPr>
        <w:kinsoku w:val="0"/>
        <w:overflowPunct w:val="0"/>
        <w:autoSpaceDE w:val="0"/>
        <w:autoSpaceDN w:val="0"/>
        <w:spacing w:line="360" w:lineRule="auto"/>
        <w:ind w:firstLine="482" w:firstLineChars="200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（三）具体</w:t>
      </w:r>
      <w:r>
        <w:rPr>
          <w:rFonts w:ascii="楷体_GB2312" w:eastAsia="楷体_GB2312"/>
          <w:b/>
          <w:sz w:val="24"/>
        </w:rPr>
        <w:t>内容</w:t>
      </w:r>
    </w:p>
    <w:p>
      <w:pPr>
        <w:widowControl/>
        <w:spacing w:line="400" w:lineRule="exact"/>
        <w:jc w:val="center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第一知识模块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_GB2312" w:eastAsia="楷体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10"/>
          <w:rFonts w:hint="eastAsia" w:ascii="楷体_GB2312" w:hAnsi="宋体" w:eastAsia="楷体_GB2312" w:cs="黑体"/>
          <w:kern w:val="0"/>
          <w:sz w:val="24"/>
          <w:szCs w:val="24"/>
          <w:lang w:bidi="ar"/>
        </w:rPr>
        <w:t>绪论（</w:t>
      </w:r>
      <w:r>
        <w:rPr>
          <w:rStyle w:val="10"/>
          <w:rFonts w:hint="eastAsia" w:ascii="楷体_GB2312" w:hAnsi="宋体" w:eastAsia="楷体_GB2312" w:cs="黑体"/>
          <w:kern w:val="0"/>
          <w:sz w:val="24"/>
          <w:szCs w:val="24"/>
          <w:lang w:val="en-US" w:eastAsia="zh-CN" w:bidi="ar"/>
        </w:rPr>
        <w:t>4</w:t>
      </w:r>
      <w:r>
        <w:rPr>
          <w:rStyle w:val="10"/>
          <w:rFonts w:hint="eastAsia" w:ascii="楷体_GB2312" w:hAnsi="宋体" w:eastAsia="楷体_GB2312" w:cs="黑体"/>
          <w:kern w:val="0"/>
          <w:sz w:val="24"/>
          <w:szCs w:val="24"/>
          <w:lang w:bidi="ar"/>
        </w:rPr>
        <w:t>学时）</w:t>
      </w: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【学习内容】</w:t>
      </w:r>
    </w:p>
    <w:p>
      <w:pPr>
        <w:widowControl/>
        <w:spacing w:line="400" w:lineRule="exact"/>
        <w:ind w:firstLine="480" w:firstLineChars="200"/>
        <w:jc w:val="left"/>
        <w:rPr>
          <w:rFonts w:hint="eastAsia" w:ascii="楷体_GB2312" w:hAnsi="宋体" w:eastAsia="楷体_GB2312" w:cs="宋体"/>
          <w:kern w:val="0"/>
          <w:sz w:val="24"/>
          <w:szCs w:val="24"/>
          <w:lang w:bidi="ar"/>
        </w:rPr>
      </w:pPr>
      <w:r>
        <w:rPr>
          <w:rFonts w:hint="eastAsia" w:ascii="楷体_GB2312" w:hAnsi="宋体" w:eastAsia="楷体_GB2312" w:cs="宋体"/>
          <w:kern w:val="0"/>
          <w:sz w:val="24"/>
          <w:szCs w:val="24"/>
          <w:lang w:val="en-US" w:eastAsia="zh-CN" w:bidi="ar"/>
        </w:rPr>
        <w:t>第1节 微生物在生物界中的地位</w:t>
      </w:r>
    </w:p>
    <w:p>
      <w:pPr>
        <w:widowControl/>
        <w:spacing w:line="400" w:lineRule="exact"/>
        <w:ind w:firstLine="480" w:firstLineChars="200"/>
        <w:jc w:val="left"/>
        <w:rPr>
          <w:rFonts w:hint="eastAsia" w:ascii="楷体_GB2312" w:hAnsi="宋体" w:eastAsia="楷体_GB2312" w:cs="宋体"/>
          <w:kern w:val="0"/>
          <w:sz w:val="24"/>
          <w:szCs w:val="24"/>
          <w:lang w:bidi="ar"/>
        </w:rPr>
      </w:pPr>
      <w:r>
        <w:rPr>
          <w:rFonts w:hint="eastAsia" w:ascii="楷体_GB2312" w:hAnsi="宋体" w:eastAsia="楷体_GB2312" w:cs="宋体"/>
          <w:kern w:val="0"/>
          <w:sz w:val="24"/>
          <w:szCs w:val="24"/>
          <w:lang w:val="en-US" w:eastAsia="zh-CN" w:bidi="ar"/>
        </w:rPr>
        <w:t>第2节 微生物学的发展简史</w:t>
      </w:r>
    </w:p>
    <w:p>
      <w:pPr>
        <w:widowControl/>
        <w:spacing w:line="400" w:lineRule="exact"/>
        <w:ind w:firstLine="480" w:firstLineChars="200"/>
        <w:jc w:val="left"/>
        <w:rPr>
          <w:rFonts w:hint="eastAsia" w:ascii="楷体_GB2312" w:hAnsi="宋体" w:eastAsia="楷体_GB2312" w:cs="宋体"/>
          <w:kern w:val="0"/>
          <w:sz w:val="24"/>
          <w:szCs w:val="24"/>
          <w:lang w:bidi="ar"/>
        </w:rPr>
      </w:pPr>
      <w:r>
        <w:rPr>
          <w:rFonts w:hint="eastAsia" w:ascii="楷体_GB2312" w:hAnsi="宋体" w:eastAsia="楷体_GB2312" w:cs="宋体"/>
          <w:kern w:val="0"/>
          <w:sz w:val="24"/>
          <w:szCs w:val="24"/>
          <w:lang w:val="en-US" w:eastAsia="zh-CN" w:bidi="ar"/>
        </w:rPr>
        <w:t>第3节 微生物的应用</w:t>
      </w: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【重点】</w:t>
      </w:r>
    </w:p>
    <w:p>
      <w:pPr>
        <w:pStyle w:val="6"/>
        <w:widowControl/>
        <w:spacing w:beforeAutospacing="0" w:afterAutospacing="0" w:line="400" w:lineRule="exact"/>
        <w:ind w:firstLine="480" w:firstLineChars="200"/>
        <w:rPr>
          <w:rFonts w:hint="eastAsia" w:ascii="楷体_GB2312" w:hAnsi="宋体" w:eastAsia="楷体_GB2312" w:cs="宋体"/>
          <w:szCs w:val="24"/>
        </w:rPr>
      </w:pPr>
      <w:r>
        <w:rPr>
          <w:rFonts w:hint="eastAsia" w:ascii="楷体_GB2312" w:hAnsi="宋体" w:eastAsia="楷体_GB2312" w:cs="宋体"/>
          <w:szCs w:val="24"/>
        </w:rPr>
        <w:t xml:space="preserve">掌握微生物的基本特点，有益微生物在工、农、医上的应用及有害微生物的防治。 </w:t>
      </w: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【难点】</w:t>
      </w:r>
    </w:p>
    <w:p>
      <w:pPr>
        <w:pStyle w:val="6"/>
        <w:widowControl/>
        <w:spacing w:beforeAutospacing="0" w:afterAutospacing="0" w:line="400" w:lineRule="exact"/>
        <w:ind w:firstLine="480" w:firstLineChars="200"/>
        <w:rPr>
          <w:rFonts w:hint="eastAsia" w:ascii="楷体_GB2312" w:eastAsia="楷体_GB2312"/>
          <w:szCs w:val="24"/>
        </w:rPr>
      </w:pPr>
      <w:r>
        <w:rPr>
          <w:rFonts w:hint="eastAsia" w:ascii="楷体_GB2312" w:hAnsi="宋体" w:eastAsia="楷体_GB2312" w:cs="宋体"/>
          <w:color w:val="000000"/>
          <w:szCs w:val="24"/>
        </w:rPr>
        <w:t>微生物的五大基本特点。</w:t>
      </w: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【教学方法】</w:t>
      </w:r>
    </w:p>
    <w:p>
      <w:pPr>
        <w:spacing w:line="400" w:lineRule="exact"/>
        <w:ind w:firstLine="480" w:firstLineChars="200"/>
        <w:rPr>
          <w:rFonts w:ascii="楷体_GB2312" w:eastAsia="楷体_GB2312"/>
          <w:color w:val="FF0000"/>
          <w:sz w:val="24"/>
          <w:szCs w:val="24"/>
        </w:rPr>
      </w:pPr>
      <w:r>
        <w:rPr>
          <w:rFonts w:ascii="楷体_GB2312" w:eastAsia="楷体_GB2312"/>
          <w:color w:val="FF0000"/>
          <w:sz w:val="24"/>
          <w:szCs w:val="24"/>
        </w:rPr>
        <w:t>讲授法</w:t>
      </w:r>
    </w:p>
    <w:p>
      <w:pPr>
        <w:spacing w:line="400" w:lineRule="exact"/>
        <w:ind w:firstLine="480" w:firstLineChars="200"/>
        <w:rPr>
          <w:rFonts w:hint="eastAsia" w:ascii="楷体_GB2312" w:eastAsia="楷体_GB2312"/>
          <w:color w:val="auto"/>
          <w:sz w:val="24"/>
          <w:szCs w:val="24"/>
          <w:lang w:val="en-US" w:eastAsia="zh-CN"/>
        </w:rPr>
      </w:pPr>
      <w:r>
        <w:rPr>
          <w:rFonts w:hint="eastAsia" w:ascii="楷体_GB2312" w:eastAsia="楷体_GB2312"/>
          <w:color w:val="auto"/>
          <w:sz w:val="24"/>
          <w:szCs w:val="24"/>
          <w:lang w:val="en-US" w:eastAsia="zh-CN"/>
        </w:rPr>
        <w:t>思政元素：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  <w:t xml:space="preserve">[1]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  <w:t>科学精神传承：通过列文虎克、巴斯德等科学家的故事，强调严谨求实的科研态度与创新精神，结合中国微生物学家汤飞凡发现沙眼衣原体的案例，增强民族自豪感；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  <w:t xml:space="preserve">[2]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  <w:t>科技伦理思考：讨论微生物"双刃剑"特性（如生物武器与疫苗开发），引导学生树立科技向善的价值观</w:t>
      </w: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【复习思考】</w:t>
      </w:r>
    </w:p>
    <w:p>
      <w:pPr>
        <w:spacing w:line="400" w:lineRule="exact"/>
        <w:ind w:firstLine="470" w:firstLineChars="196"/>
        <w:rPr>
          <w:rFonts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  <w:lang w:val="en-US" w:eastAsia="zh-Hans"/>
        </w:rPr>
        <w:t>微生物具有哪些特点</w:t>
      </w:r>
      <w:r>
        <w:rPr>
          <w:rFonts w:hint="default" w:ascii="楷体_GB2312" w:eastAsia="楷体_GB2312"/>
          <w:sz w:val="24"/>
          <w:szCs w:val="24"/>
          <w:lang w:eastAsia="zh-Hans"/>
        </w:rPr>
        <w:t>，</w:t>
      </w:r>
      <w:r>
        <w:rPr>
          <w:rFonts w:hint="eastAsia" w:ascii="楷体_GB2312" w:eastAsia="楷体_GB2312"/>
          <w:sz w:val="24"/>
          <w:szCs w:val="24"/>
          <w:lang w:val="en-US" w:eastAsia="zh-Hans"/>
        </w:rPr>
        <w:t>其主要包括哪几类生物</w:t>
      </w:r>
      <w:r>
        <w:rPr>
          <w:rFonts w:hint="eastAsia" w:ascii="楷体_GB2312" w:eastAsia="楷体_GB2312"/>
          <w:sz w:val="24"/>
          <w:szCs w:val="24"/>
        </w:rPr>
        <w:t>？</w:t>
      </w:r>
    </w:p>
    <w:p>
      <w:pPr>
        <w:spacing w:line="400" w:lineRule="exact"/>
        <w:rPr>
          <w:rFonts w:hint="eastAsia" w:ascii="楷体_GB2312" w:eastAsia="楷体_GB2312"/>
          <w:b/>
          <w:sz w:val="24"/>
          <w:szCs w:val="24"/>
        </w:rPr>
      </w:pP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</w:p>
    <w:p>
      <w:pPr>
        <w:widowControl/>
        <w:spacing w:line="400" w:lineRule="exact"/>
        <w:jc w:val="center"/>
        <w:rPr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第二知识模块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Style w:val="10"/>
          <w:rFonts w:ascii="黑体" w:hAnsi="宋体" w:eastAsia="黑体" w:cs="黑体"/>
          <w:kern w:val="0"/>
          <w:sz w:val="24"/>
          <w:szCs w:val="24"/>
          <w:lang w:bidi="ar"/>
        </w:rPr>
        <w:t>病毒（</w:t>
      </w:r>
      <w:r>
        <w:rPr>
          <w:rStyle w:val="10"/>
          <w:rFonts w:hint="default" w:ascii="黑体" w:hAnsi="宋体" w:eastAsia="黑体" w:cs="黑体"/>
          <w:kern w:val="0"/>
          <w:sz w:val="24"/>
          <w:szCs w:val="24"/>
          <w:lang w:bidi="ar"/>
        </w:rPr>
        <w:t>6</w:t>
      </w:r>
      <w:r>
        <w:rPr>
          <w:rStyle w:val="10"/>
          <w:rFonts w:ascii="黑体" w:hAnsi="宋体" w:eastAsia="黑体" w:cs="黑体"/>
          <w:kern w:val="0"/>
          <w:sz w:val="24"/>
          <w:szCs w:val="24"/>
          <w:lang w:bidi="ar"/>
        </w:rPr>
        <w:t>学时）</w:t>
      </w:r>
    </w:p>
    <w:p>
      <w:pPr>
        <w:spacing w:line="400" w:lineRule="exact"/>
        <w:jc w:val="center"/>
        <w:rPr>
          <w:rFonts w:ascii="楷体_GB2312" w:eastAsia="楷体_GB2312"/>
          <w:b/>
          <w:sz w:val="24"/>
          <w:szCs w:val="24"/>
        </w:rPr>
      </w:pP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【学习内容】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szCs w:val="24"/>
        </w:rPr>
      </w:pPr>
      <w:r>
        <w:rPr>
          <w:rFonts w:hint="eastAsia" w:ascii="楷体_GB2312" w:hAnsi="宋体" w:eastAsia="楷体_GB2312" w:cs="宋体"/>
          <w:color w:val="000000"/>
          <w:szCs w:val="24"/>
        </w:rPr>
        <w:t xml:space="preserve">第一节  </w:t>
      </w:r>
      <w:r>
        <w:rPr>
          <w:rFonts w:hint="eastAsia" w:ascii="楷体_GB2312" w:hAnsi="宋体" w:eastAsia="楷体_GB2312" w:cs="宋体"/>
          <w:color w:val="000000"/>
          <w:szCs w:val="24"/>
          <w:shd w:val="clear" w:color="auto" w:fill="FFFFFF"/>
        </w:rPr>
        <w:t>病毒的特征和分类</w:t>
      </w:r>
      <w:r>
        <w:rPr>
          <w:rFonts w:hint="eastAsia" w:ascii="楷体_GB2312" w:eastAsia="楷体_GB2312"/>
          <w:szCs w:val="24"/>
        </w:rPr>
        <w:t xml:space="preserve"> 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szCs w:val="24"/>
        </w:rPr>
      </w:pPr>
      <w:r>
        <w:rPr>
          <w:rFonts w:hint="eastAsia" w:ascii="楷体_GB2312" w:hAnsi="宋体" w:eastAsia="楷体_GB2312" w:cs="宋体"/>
          <w:color w:val="000000"/>
          <w:szCs w:val="24"/>
        </w:rPr>
        <w:t xml:space="preserve">第二节  </w:t>
      </w:r>
      <w:r>
        <w:rPr>
          <w:rFonts w:hint="eastAsia" w:ascii="楷体_GB2312" w:hAnsi="宋体" w:eastAsia="楷体_GB2312" w:cs="宋体"/>
          <w:color w:val="000000"/>
          <w:szCs w:val="24"/>
          <w:shd w:val="clear" w:color="auto" w:fill="FFFFFF"/>
        </w:rPr>
        <w:t>病毒的形态和结构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szCs w:val="24"/>
        </w:rPr>
      </w:pPr>
      <w:r>
        <w:rPr>
          <w:rFonts w:hint="eastAsia" w:ascii="楷体_GB2312" w:hAnsi="宋体" w:eastAsia="楷体_GB2312" w:cs="宋体"/>
          <w:color w:val="000000"/>
          <w:szCs w:val="24"/>
        </w:rPr>
        <w:t xml:space="preserve">第三节  </w:t>
      </w:r>
      <w:r>
        <w:rPr>
          <w:rFonts w:hint="eastAsia" w:ascii="楷体_GB2312" w:hAnsi="宋体" w:eastAsia="楷体_GB2312" w:cs="宋体"/>
          <w:color w:val="000000"/>
          <w:szCs w:val="24"/>
          <w:shd w:val="clear" w:color="auto" w:fill="FFFFFF"/>
        </w:rPr>
        <w:t>亚病毒和新兴病毒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szCs w:val="24"/>
        </w:rPr>
      </w:pPr>
      <w:r>
        <w:rPr>
          <w:rFonts w:hint="eastAsia" w:ascii="楷体_GB2312" w:hAnsi="宋体" w:eastAsia="楷体_GB2312" w:cs="宋体"/>
          <w:color w:val="000000"/>
          <w:szCs w:val="24"/>
          <w:shd w:val="clear" w:color="auto" w:fill="FFFFFF"/>
        </w:rPr>
        <w:t>第四节  病毒的增殖过程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szCs w:val="24"/>
        </w:rPr>
      </w:pPr>
      <w:r>
        <w:rPr>
          <w:rFonts w:hint="eastAsia" w:ascii="楷体_GB2312" w:hAnsi="宋体" w:eastAsia="楷体_GB2312" w:cs="宋体"/>
          <w:color w:val="000000"/>
          <w:szCs w:val="24"/>
          <w:shd w:val="clear" w:color="auto" w:fill="FFFFFF"/>
        </w:rPr>
        <w:t>第五节  病毒的培养和计数</w:t>
      </w:r>
    </w:p>
    <w:p>
      <w:pPr>
        <w:pStyle w:val="6"/>
        <w:widowControl/>
        <w:spacing w:beforeAutospacing="0" w:afterAutospacing="0" w:line="400" w:lineRule="exact"/>
        <w:ind w:firstLine="600" w:firstLineChars="250"/>
        <w:rPr>
          <w:rFonts w:hint="eastAsia" w:ascii="楷体_GB2312" w:eastAsia="楷体_GB2312"/>
          <w:szCs w:val="24"/>
        </w:rPr>
      </w:pPr>
      <w:r>
        <w:rPr>
          <w:rFonts w:hint="eastAsia" w:ascii="楷体_GB2312" w:hAnsi="宋体" w:eastAsia="楷体_GB2312" w:cs="宋体"/>
          <w:color w:val="000000"/>
          <w:szCs w:val="24"/>
          <w:shd w:val="clear" w:color="auto" w:fill="FFFFFF"/>
        </w:rPr>
        <w:t>第六节  环境因子对病毒的影响和病毒的存活</w:t>
      </w: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【重点】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szCs w:val="24"/>
        </w:rPr>
      </w:pPr>
      <w:r>
        <w:rPr>
          <w:rFonts w:hint="eastAsia" w:ascii="楷体_GB2312" w:hAnsi="宋体" w:eastAsia="楷体_GB2312" w:cs="宋体"/>
          <w:szCs w:val="24"/>
        </w:rPr>
        <w:t>1） 基本概念：核衣壳；毒粒；病毒的复制；烈性噬菌体；温和噬菌体；原噬菌体；溶源性与溶源性细菌；溶源转变；</w:t>
      </w:r>
      <w:r>
        <w:rPr>
          <w:rFonts w:hint="eastAsia" w:ascii="楷体_GB2312" w:hAnsi="宋体" w:eastAsia="楷体_GB2312" w:cs="宋体"/>
          <w:color w:val="000000"/>
          <w:szCs w:val="24"/>
        </w:rPr>
        <w:t>卫星病毒；卫星RNA；类病毒；朊病毒</w:t>
      </w:r>
      <w:r>
        <w:rPr>
          <w:rFonts w:hint="eastAsia" w:ascii="楷体_GB2312" w:hAnsi="宋体" w:eastAsia="楷体_GB2312" w:cs="宋体"/>
          <w:szCs w:val="24"/>
        </w:rPr>
        <w:t>。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szCs w:val="24"/>
        </w:rPr>
      </w:pPr>
      <w:r>
        <w:rPr>
          <w:rFonts w:hint="eastAsia" w:ascii="楷体_GB2312" w:hAnsi="宋体" w:eastAsia="楷体_GB2312" w:cs="宋体"/>
          <w:szCs w:val="24"/>
        </w:rPr>
        <w:t>2） 病毒的特点以及分类、命名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szCs w:val="24"/>
        </w:rPr>
      </w:pPr>
      <w:r>
        <w:rPr>
          <w:rFonts w:hint="eastAsia" w:ascii="楷体_GB2312" w:hAnsi="宋体" w:eastAsia="楷体_GB2312" w:cs="宋体"/>
          <w:szCs w:val="24"/>
        </w:rPr>
        <w:t>3） 病毒壳体的作用及其3种基本结构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hAnsi="宋体" w:eastAsia="楷体_GB2312" w:cs="宋体"/>
          <w:szCs w:val="24"/>
        </w:rPr>
      </w:pPr>
      <w:r>
        <w:rPr>
          <w:rFonts w:hint="eastAsia" w:ascii="楷体_GB2312" w:hAnsi="宋体" w:eastAsia="楷体_GB2312" w:cs="宋体"/>
          <w:szCs w:val="24"/>
        </w:rPr>
        <w:t>4） 病毒包膜及其中糖蛋白的功能</w:t>
      </w:r>
    </w:p>
    <w:p>
      <w:pPr>
        <w:pStyle w:val="6"/>
        <w:widowControl/>
        <w:spacing w:beforeAutospacing="0" w:afterAutospacing="0" w:line="400" w:lineRule="exact"/>
        <w:rPr>
          <w:rFonts w:ascii="楷体_GB2312" w:eastAsia="楷体_GB2312"/>
          <w:b/>
          <w:szCs w:val="24"/>
        </w:rPr>
      </w:pPr>
      <w:r>
        <w:rPr>
          <w:rFonts w:hint="eastAsia" w:ascii="楷体_GB2312" w:eastAsia="楷体_GB2312"/>
          <w:b/>
          <w:szCs w:val="24"/>
        </w:rPr>
        <w:t>【难点】</w:t>
      </w:r>
    </w:p>
    <w:p>
      <w:pPr>
        <w:pStyle w:val="6"/>
        <w:widowControl/>
        <w:spacing w:beforeAutospacing="0" w:afterAutospacing="0" w:line="400" w:lineRule="exact"/>
        <w:ind w:left="480"/>
        <w:rPr>
          <w:rFonts w:hint="eastAsia" w:ascii="楷体_GB2312" w:eastAsia="楷体_GB2312"/>
          <w:szCs w:val="24"/>
        </w:rPr>
      </w:pPr>
      <w:r>
        <w:rPr>
          <w:rFonts w:hint="eastAsia" w:ascii="楷体_GB2312" w:hAnsi="宋体" w:eastAsia="楷体_GB2312" w:cs="宋体"/>
          <w:color w:val="000000"/>
          <w:szCs w:val="24"/>
        </w:rPr>
        <w:t>1）掌握病毒学发展的重要事件</w:t>
      </w:r>
    </w:p>
    <w:p>
      <w:pPr>
        <w:pStyle w:val="6"/>
        <w:widowControl/>
        <w:spacing w:beforeAutospacing="0" w:afterAutospacing="0" w:line="400" w:lineRule="exact"/>
        <w:ind w:left="48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000000"/>
          <w:szCs w:val="24"/>
        </w:rPr>
        <w:t>2）病毒</w:t>
      </w:r>
      <w:r>
        <w:rPr>
          <w:rFonts w:hint="eastAsia" w:ascii="楷体_GB2312" w:hAnsi="宋体" w:eastAsia="楷体_GB2312" w:cs="宋体"/>
          <w:color w:val="auto"/>
          <w:szCs w:val="24"/>
        </w:rPr>
        <w:t>、类病毒、拟病毒、朊病毒的形态特征、结构及病毒繁殖方式。</w:t>
      </w:r>
    </w:p>
    <w:p>
      <w:pPr>
        <w:pStyle w:val="6"/>
        <w:widowControl/>
        <w:spacing w:beforeAutospacing="0" w:afterAutospacing="0" w:line="400" w:lineRule="exact"/>
        <w:ind w:left="48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3）掌握噬菌体的繁殖过程及烈性噬菌体的一步生长曲线，理解溶源菌的概念。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【教学方法】</w:t>
      </w:r>
    </w:p>
    <w:p>
      <w:pPr>
        <w:spacing w:line="400" w:lineRule="exact"/>
        <w:ind w:firstLine="480" w:firstLineChars="200"/>
        <w:rPr>
          <w:rFonts w:ascii="楷体_GB2312" w:eastAsia="楷体_GB2312"/>
          <w:color w:val="auto"/>
          <w:sz w:val="24"/>
          <w:szCs w:val="24"/>
        </w:rPr>
      </w:pPr>
      <w:r>
        <w:rPr>
          <w:rFonts w:ascii="楷体_GB2312" w:eastAsia="楷体_GB2312"/>
          <w:color w:val="auto"/>
          <w:sz w:val="24"/>
          <w:szCs w:val="24"/>
        </w:rPr>
        <w:t>讲授法</w:t>
      </w:r>
    </w:p>
    <w:p>
      <w:pPr>
        <w:spacing w:line="400" w:lineRule="exact"/>
        <w:ind w:firstLine="480" w:firstLineChars="200"/>
        <w:rPr>
          <w:rFonts w:hint="eastAsia" w:ascii="楷体_GB2312" w:eastAsia="楷体_GB2312"/>
          <w:color w:val="auto"/>
          <w:sz w:val="24"/>
          <w:szCs w:val="24"/>
          <w:lang w:val="en-US" w:eastAsia="zh-CN"/>
        </w:rPr>
      </w:pPr>
      <w:r>
        <w:rPr>
          <w:rFonts w:hint="eastAsia" w:ascii="楷体_GB2312" w:eastAsia="楷体_GB2312"/>
          <w:color w:val="auto"/>
          <w:sz w:val="24"/>
          <w:szCs w:val="24"/>
          <w:lang w:val="en-US" w:eastAsia="zh-CN"/>
        </w:rPr>
        <w:t>思政元素：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default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 xml:space="preserve">[1] </w:t>
      </w:r>
      <w:r>
        <w:rPr>
          <w:rFonts w:hint="eastAsia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>社会责任教育：结合COVID-19疫情防控，分析病毒变异与全球卫生治理的关系，强化"人类命运共同体"意识；</w:t>
      </w:r>
    </w:p>
    <w:p>
      <w:pPr>
        <w:spacing w:line="400" w:lineRule="exact"/>
        <w:ind w:firstLine="480" w:firstLineChars="200"/>
        <w:rPr>
          <w:rFonts w:hint="default" w:ascii="楷体_GB2312" w:eastAsia="楷体_GB2312"/>
          <w:color w:val="auto"/>
          <w:sz w:val="24"/>
          <w:szCs w:val="24"/>
          <w:lang w:val="en-US"/>
        </w:rPr>
      </w:pPr>
      <w:r>
        <w:rPr>
          <w:rFonts w:hint="default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 xml:space="preserve">[2] </w:t>
      </w:r>
      <w:r>
        <w:rPr>
          <w:rFonts w:hint="eastAsia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>辩证思维培养：通过朊病毒挑战传统生物学认知的案例，阐释科学发展中的否定之否定规律。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【复习思考】</w:t>
      </w:r>
    </w:p>
    <w:p>
      <w:pPr>
        <w:pStyle w:val="19"/>
        <w:numPr>
          <w:ilvl w:val="0"/>
          <w:numId w:val="1"/>
        </w:numPr>
        <w:spacing w:line="400" w:lineRule="exact"/>
        <w:ind w:firstLineChars="0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病毒是一类什么样的微生物？</w:t>
      </w:r>
    </w:p>
    <w:p>
      <w:pPr>
        <w:pStyle w:val="19"/>
        <w:numPr>
          <w:ilvl w:val="0"/>
          <w:numId w:val="1"/>
        </w:numPr>
        <w:spacing w:line="400" w:lineRule="exact"/>
        <w:ind w:firstLineChars="0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它与一般生物相比有什么特点？</w:t>
      </w:r>
    </w:p>
    <w:p>
      <w:pPr>
        <w:widowControl/>
        <w:spacing w:line="400" w:lineRule="exact"/>
        <w:jc w:val="center"/>
        <w:rPr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第</w:t>
      </w:r>
      <w:r>
        <w:rPr>
          <w:rFonts w:hint="eastAsia" w:ascii="楷体_GB2312" w:eastAsia="楷体_GB2312"/>
          <w:b/>
          <w:color w:val="auto"/>
          <w:sz w:val="24"/>
          <w:szCs w:val="24"/>
          <w:lang w:eastAsia="zh-Hans"/>
        </w:rPr>
        <w:t>三</w:t>
      </w:r>
      <w:r>
        <w:rPr>
          <w:rFonts w:hint="eastAsia" w:ascii="楷体_GB2312" w:eastAsia="楷体_GB2312"/>
          <w:b/>
          <w:color w:val="auto"/>
          <w:sz w:val="24"/>
          <w:szCs w:val="24"/>
        </w:rPr>
        <w:t>知识模块</w:t>
      </w:r>
      <w:r>
        <w:rPr>
          <w:rFonts w:hint="eastAsia"/>
          <w:b/>
          <w:color w:val="auto"/>
          <w:sz w:val="24"/>
          <w:szCs w:val="24"/>
        </w:rPr>
        <w:t xml:space="preserve"> </w:t>
      </w:r>
      <w:r>
        <w:rPr>
          <w:rFonts w:hint="eastAsia" w:ascii="楷体_GB2312" w:eastAsia="楷体_GB2312"/>
          <w:b/>
          <w:color w:val="auto"/>
          <w:sz w:val="24"/>
          <w:szCs w:val="24"/>
        </w:rPr>
        <w:t xml:space="preserve"> </w:t>
      </w:r>
      <w:r>
        <w:rPr>
          <w:rStyle w:val="10"/>
          <w:rFonts w:hint="eastAsia" w:ascii="楷体_GB2312" w:hAnsi="宋体" w:eastAsia="楷体_GB2312" w:cs="黑体"/>
          <w:color w:val="auto"/>
          <w:kern w:val="0"/>
          <w:sz w:val="24"/>
          <w:szCs w:val="24"/>
          <w:lang w:bidi="ar"/>
        </w:rPr>
        <w:t>原核微生物（</w:t>
      </w:r>
      <w:r>
        <w:rPr>
          <w:rStyle w:val="10"/>
          <w:rFonts w:hint="eastAsia" w:ascii="楷体_GB2312" w:hAnsi="宋体" w:eastAsia="楷体_GB2312" w:cs="黑体"/>
          <w:color w:val="auto"/>
          <w:kern w:val="0"/>
          <w:sz w:val="24"/>
          <w:szCs w:val="24"/>
          <w:lang w:val="en-US" w:eastAsia="zh-CN" w:bidi="ar"/>
        </w:rPr>
        <w:t>10</w:t>
      </w:r>
      <w:r>
        <w:rPr>
          <w:rStyle w:val="10"/>
          <w:rFonts w:hint="eastAsia" w:ascii="楷体_GB2312" w:hAnsi="宋体" w:eastAsia="楷体_GB2312" w:cs="黑体"/>
          <w:color w:val="auto"/>
          <w:kern w:val="0"/>
          <w:sz w:val="24"/>
          <w:szCs w:val="24"/>
          <w:lang w:bidi="ar"/>
        </w:rPr>
        <w:t>学时）</w:t>
      </w:r>
    </w:p>
    <w:p>
      <w:pPr>
        <w:widowControl/>
        <w:spacing w:line="400" w:lineRule="exact"/>
        <w:jc w:val="center"/>
        <w:rPr>
          <w:rFonts w:ascii="楷体_GB2312" w:eastAsia="楷体_GB2312"/>
          <w:b/>
          <w:color w:val="auto"/>
          <w:sz w:val="24"/>
          <w:szCs w:val="24"/>
        </w:rPr>
      </w:pP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【学习内容】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 xml:space="preserve">第一节  </w:t>
      </w: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细菌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 xml:space="preserve">第二节  </w:t>
      </w: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古菌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 xml:space="preserve">第三节  </w:t>
      </w: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放线菌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第四节  蓝细菌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第五节  其他原核微生物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【重点】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1) 细菌细胞的结构与功能（重点：细胞壁、细胞膜、芽孢、糖被、鞭毛）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2) 细菌、放线菌、蓝细菌、螺旋体、衣原体、支原体、立克次氏体的基本特性。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3)古生菌的概念及其与真细菌、真核生物的主要区别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4)</w:t>
      </w:r>
      <w:r>
        <w:rPr>
          <w:rFonts w:hint="eastAsia" w:ascii="楷体_GB2312" w:eastAsia="楷体_GB2312"/>
          <w:color w:val="auto"/>
          <w:szCs w:val="24"/>
        </w:rPr>
        <w:t xml:space="preserve"> </w:t>
      </w:r>
      <w:r>
        <w:rPr>
          <w:rFonts w:hint="eastAsia" w:ascii="楷体_GB2312" w:hAnsi="宋体" w:eastAsia="楷体_GB2312" w:cs="宋体"/>
          <w:color w:val="auto"/>
          <w:szCs w:val="24"/>
        </w:rPr>
        <w:t>原核微生物与人类的关系及应用</w:t>
      </w:r>
    </w:p>
    <w:p>
      <w:pPr>
        <w:spacing w:line="400" w:lineRule="exact"/>
        <w:rPr>
          <w:rFonts w:hint="eastAsia"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【难点】</w:t>
      </w:r>
    </w:p>
    <w:p>
      <w:pPr>
        <w:spacing w:line="400" w:lineRule="exact"/>
        <w:ind w:firstLine="411" w:firstLineChars="196"/>
        <w:rPr>
          <w:rFonts w:hint="eastAsia" w:ascii="楷体_GB2312" w:hAnsi="宋体" w:eastAsia="楷体_GB2312" w:cs="宋体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1)真核生物细胞的结构</w:t>
      </w:r>
    </w:p>
    <w:p>
      <w:pPr>
        <w:spacing w:line="400" w:lineRule="exact"/>
        <w:ind w:firstLine="411" w:firstLineChars="196"/>
        <w:rPr>
          <w:rFonts w:hint="eastAsia" w:ascii="楷体_GB2312" w:hAnsi="宋体" w:eastAsia="楷体_GB2312" w:cs="宋体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2)革兰氏染色的主要过程和机理，菌胶团的定义和在水处理中的作用，细菌的带电性，细菌的分类，环境中的常见的菌属</w:t>
      </w:r>
    </w:p>
    <w:p>
      <w:pPr>
        <w:spacing w:line="400" w:lineRule="exact"/>
        <w:ind w:firstLine="411" w:firstLineChars="196"/>
        <w:rPr>
          <w:rFonts w:hint="eastAsia"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3)原核微生物与人类的关系及应用。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【教学方法】</w:t>
      </w:r>
    </w:p>
    <w:p>
      <w:pPr>
        <w:spacing w:line="400" w:lineRule="exact"/>
        <w:ind w:firstLine="480" w:firstLineChars="200"/>
        <w:rPr>
          <w:rFonts w:ascii="楷体_GB2312" w:eastAsia="楷体_GB2312"/>
          <w:color w:val="auto"/>
          <w:sz w:val="24"/>
          <w:szCs w:val="24"/>
        </w:rPr>
      </w:pPr>
      <w:r>
        <w:rPr>
          <w:rFonts w:ascii="楷体_GB2312" w:eastAsia="楷体_GB2312"/>
          <w:color w:val="auto"/>
          <w:sz w:val="24"/>
          <w:szCs w:val="24"/>
        </w:rPr>
        <w:t>讲授法</w:t>
      </w:r>
    </w:p>
    <w:p>
      <w:pPr>
        <w:spacing w:line="400" w:lineRule="exact"/>
        <w:ind w:firstLine="480" w:firstLineChars="200"/>
        <w:rPr>
          <w:rFonts w:hint="eastAsia" w:ascii="楷体_GB2312" w:eastAsia="楷体_GB2312"/>
          <w:color w:val="auto"/>
          <w:sz w:val="24"/>
          <w:szCs w:val="24"/>
          <w:lang w:val="en-US" w:eastAsia="zh-CN"/>
        </w:rPr>
      </w:pPr>
      <w:r>
        <w:rPr>
          <w:rFonts w:hint="eastAsia" w:ascii="楷体_GB2312" w:eastAsia="楷体_GB2312"/>
          <w:color w:val="auto"/>
          <w:sz w:val="24"/>
          <w:szCs w:val="24"/>
          <w:lang w:val="en-US" w:eastAsia="zh-CN"/>
        </w:rPr>
        <w:t>思政元素：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default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 xml:space="preserve">[1] </w:t>
      </w:r>
      <w:r>
        <w:rPr>
          <w:rFonts w:hint="eastAsia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>社会责任教育：文化自信培育：展示中国科学家在极端环境古菌研究中的突破（如深海、热泉微生物），彰显科技自立自强；</w:t>
      </w:r>
    </w:p>
    <w:p>
      <w:pPr>
        <w:spacing w:line="400" w:lineRule="exact"/>
        <w:ind w:firstLine="480" w:firstLineChars="200"/>
        <w:rPr>
          <w:rFonts w:ascii="楷体_GB2312" w:eastAsia="楷体_GB2312"/>
          <w:color w:val="auto"/>
          <w:sz w:val="24"/>
          <w:szCs w:val="24"/>
        </w:rPr>
      </w:pPr>
      <w:r>
        <w:rPr>
          <w:rFonts w:hint="default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 xml:space="preserve">[2] </w:t>
      </w:r>
      <w:r>
        <w:rPr>
          <w:rFonts w:hint="eastAsia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>工程伦理渗透：以蓝细菌水华治理为例，探讨经济发展与生态保护的辩证关系。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【复习思考】</w:t>
      </w:r>
    </w:p>
    <w:p>
      <w:pPr>
        <w:pStyle w:val="19"/>
        <w:numPr>
          <w:ilvl w:val="0"/>
          <w:numId w:val="2"/>
        </w:numPr>
        <w:spacing w:line="400" w:lineRule="exact"/>
        <w:ind w:firstLineChars="0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细菌的个体形态有哪几种？</w:t>
      </w:r>
    </w:p>
    <w:p>
      <w:pPr>
        <w:pStyle w:val="19"/>
        <w:numPr>
          <w:ilvl w:val="0"/>
          <w:numId w:val="2"/>
        </w:numPr>
        <w:spacing w:line="400" w:lineRule="exact"/>
        <w:ind w:firstLineChars="0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细菌的形态会发生变化吗？</w:t>
      </w:r>
    </w:p>
    <w:p>
      <w:pPr>
        <w:pStyle w:val="19"/>
        <w:numPr>
          <w:ilvl w:val="0"/>
          <w:numId w:val="2"/>
        </w:numPr>
        <w:spacing w:line="400" w:lineRule="exact"/>
        <w:ind w:firstLineChars="0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细菌有哪些特殊结构？他们各自的生理功能？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</w:p>
    <w:p>
      <w:pPr>
        <w:widowControl/>
        <w:spacing w:line="400" w:lineRule="exact"/>
        <w:jc w:val="center"/>
        <w:rPr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第</w:t>
      </w:r>
      <w:r>
        <w:rPr>
          <w:rFonts w:hint="eastAsia" w:ascii="楷体_GB2312" w:eastAsia="楷体_GB2312"/>
          <w:b/>
          <w:color w:val="auto"/>
          <w:sz w:val="24"/>
          <w:szCs w:val="24"/>
          <w:lang w:eastAsia="zh-Hans"/>
        </w:rPr>
        <w:t>四</w:t>
      </w:r>
      <w:r>
        <w:rPr>
          <w:rFonts w:hint="eastAsia" w:ascii="楷体_GB2312" w:eastAsia="楷体_GB2312"/>
          <w:b/>
          <w:color w:val="auto"/>
          <w:sz w:val="24"/>
          <w:szCs w:val="24"/>
        </w:rPr>
        <w:t>知识模块</w:t>
      </w:r>
      <w:r>
        <w:rPr>
          <w:rFonts w:hint="eastAsia"/>
          <w:b/>
          <w:color w:val="auto"/>
          <w:sz w:val="24"/>
          <w:szCs w:val="24"/>
        </w:rPr>
        <w:t xml:space="preserve">  </w:t>
      </w:r>
      <w:r>
        <w:rPr>
          <w:rStyle w:val="10"/>
          <w:rFonts w:ascii="黑体" w:hAnsi="宋体" w:eastAsia="黑体" w:cs="黑体"/>
          <w:color w:val="auto"/>
          <w:kern w:val="0"/>
          <w:sz w:val="24"/>
          <w:szCs w:val="24"/>
          <w:lang w:bidi="ar"/>
        </w:rPr>
        <w:t>真核微生物（</w:t>
      </w:r>
      <w:r>
        <w:rPr>
          <w:rStyle w:val="10"/>
          <w:rFonts w:hint="default" w:ascii="黑体" w:hAnsi="宋体" w:eastAsia="黑体" w:cs="黑体"/>
          <w:color w:val="auto"/>
          <w:kern w:val="0"/>
          <w:sz w:val="24"/>
          <w:szCs w:val="24"/>
          <w:lang w:bidi="ar"/>
        </w:rPr>
        <w:t>6</w:t>
      </w:r>
      <w:r>
        <w:rPr>
          <w:rStyle w:val="10"/>
          <w:rFonts w:ascii="黑体" w:hAnsi="宋体" w:eastAsia="黑体" w:cs="黑体"/>
          <w:color w:val="auto"/>
          <w:kern w:val="0"/>
          <w:sz w:val="24"/>
          <w:szCs w:val="24"/>
          <w:lang w:bidi="ar"/>
        </w:rPr>
        <w:t>学时）</w:t>
      </w:r>
    </w:p>
    <w:p>
      <w:pPr>
        <w:widowControl/>
        <w:spacing w:line="400" w:lineRule="exact"/>
        <w:jc w:val="center"/>
        <w:rPr>
          <w:rFonts w:ascii="楷体_GB2312" w:eastAsia="楷体_GB2312"/>
          <w:b/>
          <w:color w:val="auto"/>
          <w:sz w:val="24"/>
          <w:szCs w:val="24"/>
        </w:rPr>
      </w:pP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【学习内容】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 xml:space="preserve">第一节  </w:t>
      </w: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原生动物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 xml:space="preserve">第二节  </w:t>
      </w: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微型后生动物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 xml:space="preserve">第三节  </w:t>
      </w: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真核藻类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第四节  真菌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【重点】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1) 掌握原生动物及后生动物的形态、生理特点，分类，常见的种类、其指示性的作用、在废水处理中的作用。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2) 掌握藻类的微生物学特征，藻类的分类，指示性的作用，了解其产生的条件及危害。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3)</w:t>
      </w:r>
      <w:r>
        <w:rPr>
          <w:rFonts w:hint="eastAsia" w:ascii="楷体_GB2312" w:eastAsia="楷体_GB2312"/>
          <w:color w:val="auto"/>
          <w:szCs w:val="24"/>
        </w:rPr>
        <w:t xml:space="preserve"> </w:t>
      </w:r>
      <w:r>
        <w:rPr>
          <w:rFonts w:hint="eastAsia" w:ascii="楷体_GB2312" w:hAnsi="宋体" w:eastAsia="楷体_GB2312" w:cs="宋体"/>
          <w:color w:val="auto"/>
          <w:szCs w:val="24"/>
        </w:rPr>
        <w:t>掌握真菌的特点和定义，酵母菌、霉菌的形态、繁殖和菌落的特征。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4)</w:t>
      </w:r>
      <w:r>
        <w:rPr>
          <w:rFonts w:hint="eastAsia" w:ascii="楷体_GB2312" w:eastAsia="楷体_GB2312"/>
          <w:color w:val="auto"/>
          <w:szCs w:val="24"/>
        </w:rPr>
        <w:t xml:space="preserve"> </w:t>
      </w:r>
      <w:r>
        <w:rPr>
          <w:rFonts w:hint="eastAsia" w:ascii="楷体_GB2312" w:hAnsi="宋体" w:eastAsia="楷体_GB2312" w:cs="宋体"/>
          <w:color w:val="auto"/>
          <w:szCs w:val="24"/>
        </w:rPr>
        <w:t>原核微生物与人类的关系及应用</w:t>
      </w:r>
    </w:p>
    <w:p>
      <w:pPr>
        <w:widowControl/>
        <w:spacing w:line="400" w:lineRule="exact"/>
        <w:ind w:firstLine="480" w:firstLineChars="200"/>
        <w:jc w:val="left"/>
        <w:rPr>
          <w:color w:val="auto"/>
          <w:sz w:val="24"/>
          <w:szCs w:val="24"/>
        </w:rPr>
      </w:pP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【难点】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1)真核生物细胞的结构与原核生物细胞的差异比较。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2)真核微生物与人类的关系及应用。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3)酵母与霉菌的菌落特征</w:t>
      </w:r>
    </w:p>
    <w:p>
      <w:pPr>
        <w:pStyle w:val="6"/>
        <w:widowControl/>
        <w:spacing w:beforeAutospacing="0" w:afterAutospacing="0" w:line="400" w:lineRule="exact"/>
        <w:ind w:firstLine="480" w:firstLineChars="200"/>
        <w:rPr>
          <w:color w:val="auto"/>
          <w:szCs w:val="24"/>
        </w:rPr>
      </w:pP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【教学方法】</w:t>
      </w:r>
    </w:p>
    <w:p>
      <w:pPr>
        <w:spacing w:line="400" w:lineRule="exact"/>
        <w:ind w:firstLine="480" w:firstLineChars="200"/>
        <w:rPr>
          <w:rFonts w:ascii="楷体_GB2312" w:eastAsia="楷体_GB2312"/>
          <w:color w:val="auto"/>
          <w:sz w:val="24"/>
          <w:szCs w:val="24"/>
        </w:rPr>
      </w:pPr>
      <w:r>
        <w:rPr>
          <w:rFonts w:ascii="楷体_GB2312" w:eastAsia="楷体_GB2312"/>
          <w:color w:val="auto"/>
          <w:sz w:val="24"/>
          <w:szCs w:val="24"/>
        </w:rPr>
        <w:t>讲授法</w:t>
      </w:r>
    </w:p>
    <w:p>
      <w:pPr>
        <w:spacing w:line="400" w:lineRule="exact"/>
        <w:ind w:firstLine="480" w:firstLineChars="200"/>
        <w:rPr>
          <w:rFonts w:hint="eastAsia" w:ascii="楷体_GB2312" w:eastAsia="楷体_GB2312"/>
          <w:color w:val="auto"/>
          <w:sz w:val="24"/>
          <w:szCs w:val="24"/>
          <w:lang w:val="en-US" w:eastAsia="zh-CN"/>
        </w:rPr>
      </w:pPr>
      <w:r>
        <w:rPr>
          <w:rFonts w:hint="eastAsia" w:ascii="楷体_GB2312" w:eastAsia="楷体_GB2312"/>
          <w:color w:val="auto"/>
          <w:sz w:val="24"/>
          <w:szCs w:val="24"/>
          <w:lang w:val="en-US" w:eastAsia="zh-CN"/>
        </w:rPr>
        <w:t>思政元素：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default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>[1] 文化传承创新：解析传统发酵食品（如酒曲霉菌）中的微生物智慧，增强传统文化认同</w:t>
      </w:r>
      <w:r>
        <w:rPr>
          <w:rFonts w:hint="eastAsia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>；</w:t>
      </w:r>
    </w:p>
    <w:p>
      <w:pPr>
        <w:spacing w:line="400" w:lineRule="exact"/>
        <w:ind w:firstLine="480" w:firstLineChars="200"/>
        <w:rPr>
          <w:rFonts w:ascii="楷体_GB2312" w:eastAsia="楷体_GB2312"/>
          <w:color w:val="auto"/>
          <w:sz w:val="24"/>
          <w:szCs w:val="24"/>
        </w:rPr>
      </w:pPr>
      <w:r>
        <w:rPr>
          <w:rFonts w:hint="default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>[2] 系统思维训练：通过真菌分解木质素过程，阐释自然界物质循环的哲学思想</w:t>
      </w:r>
      <w:r>
        <w:rPr>
          <w:rFonts w:hint="eastAsia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>。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【复习思考】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 xml:space="preserve">    原生动物在环境领域有哪些应用？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</w:p>
    <w:p>
      <w:pPr>
        <w:widowControl/>
        <w:spacing w:line="400" w:lineRule="exact"/>
        <w:jc w:val="center"/>
        <w:rPr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第</w:t>
      </w:r>
      <w:r>
        <w:rPr>
          <w:rFonts w:hint="eastAsia" w:ascii="楷体_GB2312" w:eastAsia="楷体_GB2312"/>
          <w:b/>
          <w:color w:val="auto"/>
          <w:sz w:val="24"/>
          <w:szCs w:val="24"/>
          <w:lang w:eastAsia="zh-Hans"/>
        </w:rPr>
        <w:t>五</w:t>
      </w:r>
      <w:r>
        <w:rPr>
          <w:rFonts w:hint="eastAsia" w:ascii="楷体_GB2312" w:eastAsia="楷体_GB2312"/>
          <w:b/>
          <w:color w:val="auto"/>
          <w:sz w:val="24"/>
          <w:szCs w:val="24"/>
        </w:rPr>
        <w:t>知识模块</w:t>
      </w:r>
      <w:r>
        <w:rPr>
          <w:rFonts w:hint="eastAsia"/>
          <w:b/>
          <w:color w:val="auto"/>
          <w:sz w:val="24"/>
          <w:szCs w:val="24"/>
        </w:rPr>
        <w:t xml:space="preserve">  </w:t>
      </w:r>
      <w:r>
        <w:rPr>
          <w:rFonts w:ascii="楷体_GB2312" w:eastAsia="楷体_GB2312"/>
          <w:b/>
          <w:color w:val="auto"/>
          <w:lang w:eastAsia="zh-Hans"/>
        </w:rPr>
        <w:t>微生物营养、生长及代谢（</w:t>
      </w:r>
      <w:r>
        <w:rPr>
          <w:rFonts w:hint="eastAsia" w:ascii="楷体_GB2312" w:eastAsia="楷体_GB2312"/>
          <w:b/>
          <w:color w:val="auto"/>
          <w:lang w:val="en-US" w:eastAsia="zh-CN"/>
        </w:rPr>
        <w:t>10</w:t>
      </w:r>
      <w:r>
        <w:rPr>
          <w:rFonts w:ascii="楷体_GB2312" w:eastAsia="楷体_GB2312"/>
          <w:b/>
          <w:color w:val="auto"/>
          <w:lang w:eastAsia="zh-Hans"/>
        </w:rPr>
        <w:t>学时）</w:t>
      </w:r>
    </w:p>
    <w:p>
      <w:pPr>
        <w:widowControl/>
        <w:spacing w:line="400" w:lineRule="exact"/>
        <w:jc w:val="center"/>
        <w:rPr>
          <w:rFonts w:ascii="楷体_GB2312" w:eastAsia="楷体_GB2312"/>
          <w:b/>
          <w:color w:val="auto"/>
          <w:sz w:val="24"/>
          <w:szCs w:val="24"/>
        </w:rPr>
      </w:pP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【学习内容】</w:t>
      </w:r>
    </w:p>
    <w:p>
      <w:pPr>
        <w:pStyle w:val="6"/>
        <w:widowControl/>
        <w:spacing w:beforeAutospacing="0" w:afterAutospacing="0" w:line="400" w:lineRule="exact"/>
        <w:rPr>
          <w:rFonts w:ascii="楷体_GB2312" w:hAnsi="宋体" w:eastAsia="楷体_GB2312" w:cs="宋体"/>
          <w:color w:val="auto"/>
          <w:szCs w:val="24"/>
          <w:shd w:val="clear" w:color="auto" w:fill="FFFFFF"/>
        </w:rPr>
      </w:pP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第1节  微生物的营养</w:t>
      </w:r>
    </w:p>
    <w:p>
      <w:pPr>
        <w:pStyle w:val="6"/>
        <w:widowControl/>
        <w:spacing w:beforeAutospacing="0" w:afterAutospacing="0" w:line="400" w:lineRule="exact"/>
        <w:ind w:firstLine="320"/>
        <w:rPr>
          <w:rFonts w:ascii="楷体_GB2312" w:hAnsi="宋体" w:eastAsia="楷体_GB2312" w:cs="宋体"/>
          <w:color w:val="auto"/>
          <w:szCs w:val="24"/>
          <w:shd w:val="clear" w:color="auto" w:fill="FFFFFF"/>
        </w:rPr>
      </w:pP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一、微生物细胞的营养要求</w:t>
      </w:r>
    </w:p>
    <w:p>
      <w:pPr>
        <w:pStyle w:val="6"/>
        <w:widowControl/>
        <w:spacing w:beforeAutospacing="0" w:afterAutospacing="0" w:line="400" w:lineRule="exact"/>
        <w:ind w:firstLine="320"/>
        <w:rPr>
          <w:rFonts w:ascii="楷体_GB2312" w:hAnsi="宋体" w:eastAsia="楷体_GB2312" w:cs="宋体"/>
          <w:color w:val="auto"/>
          <w:szCs w:val="24"/>
          <w:shd w:val="clear" w:color="auto" w:fill="FFFFFF"/>
        </w:rPr>
      </w:pP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二、微生物的营养类型</w:t>
      </w:r>
    </w:p>
    <w:p>
      <w:pPr>
        <w:pStyle w:val="6"/>
        <w:widowControl/>
        <w:spacing w:beforeAutospacing="0" w:afterAutospacing="0" w:line="400" w:lineRule="exact"/>
        <w:ind w:firstLine="320"/>
        <w:rPr>
          <w:rFonts w:ascii="楷体_GB2312" w:hAnsi="宋体" w:eastAsia="楷体_GB2312" w:cs="宋体"/>
          <w:color w:val="auto"/>
          <w:szCs w:val="24"/>
          <w:shd w:val="clear" w:color="auto" w:fill="FFFFFF"/>
        </w:rPr>
      </w:pP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三、微生物吸收营养的方式</w:t>
      </w:r>
    </w:p>
    <w:p>
      <w:pPr>
        <w:pStyle w:val="6"/>
        <w:widowControl/>
        <w:spacing w:beforeAutospacing="0" w:afterAutospacing="0" w:line="400" w:lineRule="exact"/>
        <w:ind w:firstLine="320"/>
        <w:rPr>
          <w:rFonts w:ascii="楷体_GB2312" w:hAnsi="宋体" w:eastAsia="楷体_GB2312" w:cs="宋体"/>
          <w:color w:val="auto"/>
          <w:szCs w:val="24"/>
          <w:shd w:val="clear" w:color="auto" w:fill="FFFFFF"/>
        </w:rPr>
      </w:pP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四、培养基的组分与制备原则</w:t>
      </w:r>
    </w:p>
    <w:p>
      <w:pPr>
        <w:pStyle w:val="6"/>
        <w:widowControl/>
        <w:spacing w:beforeAutospacing="0" w:afterAutospacing="0" w:line="400" w:lineRule="exact"/>
        <w:rPr>
          <w:rFonts w:ascii="楷体_GB2312" w:hAnsi="宋体" w:eastAsia="楷体_GB2312" w:cs="宋体"/>
          <w:color w:val="auto"/>
          <w:szCs w:val="24"/>
          <w:shd w:val="clear" w:color="auto" w:fill="FFFFFF"/>
        </w:rPr>
      </w:pP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第2节  微生物的生长和测定方法</w:t>
      </w:r>
    </w:p>
    <w:p>
      <w:pPr>
        <w:pStyle w:val="6"/>
        <w:widowControl/>
        <w:spacing w:beforeAutospacing="0" w:afterAutospacing="0" w:line="400" w:lineRule="exact"/>
        <w:rPr>
          <w:rFonts w:ascii="楷体_GB2312" w:hAnsi="宋体" w:eastAsia="楷体_GB2312" w:cs="宋体"/>
          <w:color w:val="auto"/>
          <w:szCs w:val="24"/>
          <w:shd w:val="clear" w:color="auto" w:fill="FFFFFF"/>
        </w:rPr>
      </w:pP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第3节  微生物的代谢</w:t>
      </w:r>
    </w:p>
    <w:p>
      <w:pPr>
        <w:pStyle w:val="6"/>
        <w:widowControl/>
        <w:spacing w:beforeAutospacing="0" w:afterAutospacing="0" w:line="400" w:lineRule="exact"/>
        <w:ind w:firstLine="320"/>
        <w:rPr>
          <w:rFonts w:ascii="楷体_GB2312" w:hAnsi="宋体" w:eastAsia="楷体_GB2312" w:cs="宋体"/>
          <w:color w:val="auto"/>
          <w:szCs w:val="24"/>
          <w:shd w:val="clear" w:color="auto" w:fill="FFFFFF"/>
        </w:rPr>
      </w:pP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一、微生物的能量</w:t>
      </w:r>
    </w:p>
    <w:p>
      <w:pPr>
        <w:pStyle w:val="6"/>
        <w:widowControl/>
        <w:spacing w:beforeAutospacing="0" w:afterAutospacing="0" w:line="400" w:lineRule="exact"/>
        <w:ind w:firstLine="320"/>
        <w:rPr>
          <w:rFonts w:ascii="楷体_GB2312" w:hAnsi="宋体" w:eastAsia="楷体_GB2312" w:cs="宋体"/>
          <w:color w:val="auto"/>
          <w:szCs w:val="24"/>
          <w:shd w:val="clear" w:color="auto" w:fill="FFFFFF"/>
        </w:rPr>
      </w:pP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二、微生物的分解代谢</w:t>
      </w:r>
    </w:p>
    <w:p>
      <w:pPr>
        <w:pStyle w:val="6"/>
        <w:widowControl/>
        <w:spacing w:beforeAutospacing="0" w:afterAutospacing="0" w:line="400" w:lineRule="exact"/>
        <w:ind w:firstLine="320"/>
        <w:rPr>
          <w:rFonts w:ascii="楷体_GB2312" w:hAnsi="宋体" w:eastAsia="楷体_GB2312" w:cs="宋体"/>
          <w:color w:val="auto"/>
          <w:szCs w:val="24"/>
          <w:shd w:val="clear" w:color="auto" w:fill="FFFFFF"/>
        </w:rPr>
      </w:pP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三、微生物的合成代谢</w:t>
      </w:r>
    </w:p>
    <w:p>
      <w:pPr>
        <w:pStyle w:val="6"/>
        <w:widowControl/>
        <w:spacing w:beforeAutospacing="0" w:afterAutospacing="0" w:line="400" w:lineRule="exact"/>
        <w:rPr>
          <w:rFonts w:ascii="楷体_GB2312" w:hAnsi="宋体" w:eastAsia="楷体_GB2312" w:cs="宋体"/>
          <w:color w:val="auto"/>
          <w:szCs w:val="24"/>
          <w:shd w:val="clear" w:color="auto" w:fill="FFFFFF"/>
        </w:rPr>
      </w:pP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  四、微生物的次生代谢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【重点】</w:t>
      </w:r>
    </w:p>
    <w:p>
      <w:pPr>
        <w:widowControl/>
        <w:spacing w:line="400" w:lineRule="exact"/>
        <w:ind w:firstLine="480" w:firstLineChars="200"/>
        <w:jc w:val="left"/>
        <w:rPr>
          <w:color w:val="auto"/>
          <w:sz w:val="24"/>
          <w:szCs w:val="24"/>
        </w:rPr>
      </w:pPr>
      <w:r>
        <w:rPr>
          <w:rFonts w:hint="eastAsia" w:ascii="楷体_GB2312" w:hAnsi="宋体" w:eastAsia="楷体_GB2312" w:cs="宋体"/>
          <w:color w:val="auto"/>
          <w:kern w:val="0"/>
          <w:sz w:val="24"/>
          <w:szCs w:val="24"/>
          <w:shd w:val="clear" w:color="auto" w:fill="FFFFFF"/>
        </w:rPr>
        <w:t>微生物的营养类型；单细胞与多细胞微生物生长的不同规律；</w:t>
      </w:r>
    </w:p>
    <w:p>
      <w:pPr>
        <w:widowControl/>
        <w:spacing w:line="400" w:lineRule="exact"/>
        <w:ind w:firstLine="480" w:firstLineChars="200"/>
        <w:jc w:val="left"/>
        <w:rPr>
          <w:color w:val="auto"/>
          <w:sz w:val="24"/>
          <w:szCs w:val="24"/>
        </w:rPr>
      </w:pP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【难点】</w:t>
      </w:r>
    </w:p>
    <w:p>
      <w:pPr>
        <w:spacing w:line="400" w:lineRule="exact"/>
        <w:ind w:firstLine="480" w:firstLineChars="200"/>
        <w:rPr>
          <w:rFonts w:ascii="楷体_GB2312" w:hAnsi="宋体" w:eastAsia="楷体_GB2312" w:cs="宋体"/>
          <w:color w:val="auto"/>
          <w:kern w:val="0"/>
          <w:sz w:val="24"/>
          <w:szCs w:val="24"/>
          <w:shd w:val="clear" w:color="auto" w:fill="FFFFFF"/>
        </w:rPr>
      </w:pPr>
      <w:r>
        <w:rPr>
          <w:rFonts w:hint="eastAsia" w:ascii="楷体_GB2312" w:hAnsi="宋体" w:eastAsia="楷体_GB2312" w:cs="宋体"/>
          <w:color w:val="auto"/>
          <w:kern w:val="0"/>
          <w:sz w:val="24"/>
          <w:szCs w:val="24"/>
          <w:shd w:val="clear" w:color="auto" w:fill="FFFFFF"/>
        </w:rPr>
        <w:t>不同生理类型微生物的产能及代谢差异，不同类型微生物细胞在分解代谢和合成代谢中的差异比较。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【教学方法】</w:t>
      </w:r>
    </w:p>
    <w:p>
      <w:pPr>
        <w:spacing w:line="400" w:lineRule="exact"/>
        <w:ind w:firstLine="480" w:firstLineChars="200"/>
        <w:rPr>
          <w:rFonts w:ascii="楷体_GB2312" w:eastAsia="楷体_GB2312"/>
          <w:color w:val="auto"/>
          <w:sz w:val="24"/>
          <w:szCs w:val="24"/>
        </w:rPr>
      </w:pPr>
      <w:r>
        <w:rPr>
          <w:rFonts w:ascii="楷体_GB2312" w:eastAsia="楷体_GB2312"/>
          <w:color w:val="auto"/>
          <w:sz w:val="24"/>
          <w:szCs w:val="24"/>
        </w:rPr>
        <w:t>讲授法</w:t>
      </w:r>
    </w:p>
    <w:p>
      <w:pPr>
        <w:spacing w:line="400" w:lineRule="exact"/>
        <w:ind w:firstLine="480" w:firstLineChars="200"/>
        <w:rPr>
          <w:rFonts w:hint="eastAsia" w:ascii="楷体_GB2312" w:eastAsia="楷体_GB2312"/>
          <w:color w:val="auto"/>
          <w:sz w:val="24"/>
          <w:szCs w:val="24"/>
          <w:lang w:val="en-US" w:eastAsia="zh-CN"/>
        </w:rPr>
      </w:pPr>
      <w:r>
        <w:rPr>
          <w:rFonts w:hint="eastAsia" w:ascii="楷体_GB2312" w:eastAsia="楷体_GB2312"/>
          <w:color w:val="auto"/>
          <w:sz w:val="24"/>
          <w:szCs w:val="24"/>
          <w:lang w:val="en-US" w:eastAsia="zh-CN"/>
        </w:rPr>
        <w:t>思政元素：</w:t>
      </w:r>
    </w:p>
    <w:p>
      <w:pPr>
        <w:spacing w:line="400" w:lineRule="exact"/>
        <w:ind w:firstLine="480" w:firstLineChars="200"/>
        <w:rPr>
          <w:rFonts w:hint="default" w:ascii="楷体_GB2312" w:eastAsia="楷体_GB2312"/>
          <w:color w:val="auto"/>
          <w:sz w:val="24"/>
          <w:szCs w:val="24"/>
          <w:lang w:val="en-US" w:eastAsia="zh-CN"/>
        </w:rPr>
      </w:pPr>
      <w:r>
        <w:rPr>
          <w:rFonts w:hint="default" w:ascii="楷体_GB2312" w:eastAsia="楷体_GB2312"/>
          <w:color w:val="auto"/>
          <w:sz w:val="24"/>
          <w:szCs w:val="24"/>
          <w:lang w:val="en-US" w:eastAsia="zh-CN"/>
        </w:rPr>
        <w:t>[</w:t>
      </w:r>
      <w:r>
        <w:rPr>
          <w:rFonts w:hint="eastAsia" w:ascii="楷体_GB2312" w:eastAsia="楷体_GB2312"/>
          <w:color w:val="auto"/>
          <w:sz w:val="24"/>
          <w:szCs w:val="24"/>
          <w:lang w:val="en-US" w:eastAsia="zh-CN"/>
        </w:rPr>
        <w:t>1</w:t>
      </w:r>
      <w:r>
        <w:rPr>
          <w:rFonts w:hint="default" w:ascii="楷体_GB2312" w:eastAsia="楷体_GB2312"/>
          <w:color w:val="auto"/>
          <w:sz w:val="24"/>
          <w:szCs w:val="24"/>
          <w:lang w:val="en-US" w:eastAsia="zh-CN"/>
        </w:rPr>
        <w:t>]生命教育渗透：通过微生物极端环境生存策略，启发逆境中成长的人生哲理;</w:t>
      </w:r>
    </w:p>
    <w:p>
      <w:pPr>
        <w:spacing w:line="400" w:lineRule="exact"/>
        <w:ind w:firstLine="480" w:firstLineChars="200"/>
        <w:rPr>
          <w:rFonts w:hint="default" w:ascii="楷体_GB2312" w:eastAsia="楷体_GB2312"/>
          <w:color w:val="auto"/>
          <w:sz w:val="24"/>
          <w:szCs w:val="24"/>
          <w:lang w:val="en-US" w:eastAsia="zh-CN"/>
        </w:rPr>
      </w:pPr>
      <w:r>
        <w:rPr>
          <w:rFonts w:hint="default" w:ascii="楷体_GB2312" w:eastAsia="楷体_GB2312"/>
          <w:color w:val="auto"/>
          <w:sz w:val="24"/>
          <w:szCs w:val="24"/>
          <w:lang w:val="en-US" w:eastAsia="zh-CN"/>
        </w:rPr>
        <w:t>[</w:t>
      </w:r>
      <w:r>
        <w:rPr>
          <w:rFonts w:hint="eastAsia" w:ascii="楷体_GB2312" w:eastAsia="楷体_GB2312"/>
          <w:color w:val="auto"/>
          <w:sz w:val="24"/>
          <w:szCs w:val="24"/>
          <w:lang w:val="en-US" w:eastAsia="zh-CN"/>
        </w:rPr>
        <w:t>2</w:t>
      </w:r>
      <w:r>
        <w:rPr>
          <w:rFonts w:hint="default" w:ascii="楷体_GB2312" w:eastAsia="楷体_GB2312"/>
          <w:color w:val="auto"/>
          <w:sz w:val="24"/>
          <w:szCs w:val="24"/>
          <w:lang w:val="en-US" w:eastAsia="zh-CN"/>
        </w:rPr>
        <w:t>]粮食安全意识：分析固氮菌在化肥减量中的应用，关联国家粮食安全战略</w:t>
      </w:r>
      <w:r>
        <w:rPr>
          <w:rFonts w:hint="eastAsia" w:ascii="楷体_GB2312" w:eastAsia="楷体_GB2312"/>
          <w:color w:val="auto"/>
          <w:sz w:val="24"/>
          <w:szCs w:val="24"/>
          <w:lang w:val="en-US" w:eastAsia="zh-CN"/>
        </w:rPr>
        <w:t>。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【复习思考】</w:t>
      </w:r>
    </w:p>
    <w:p>
      <w:pPr>
        <w:spacing w:line="400" w:lineRule="exact"/>
        <w:rPr>
          <w:rFonts w:ascii="楷体_GB2312" w:eastAsia="楷体_GB2312"/>
          <w:color w:val="auto"/>
          <w:sz w:val="24"/>
          <w:szCs w:val="24"/>
        </w:rPr>
      </w:pPr>
      <w:r>
        <w:rPr>
          <w:rFonts w:hint="eastAsia" w:ascii="楷体_GB2312" w:eastAsia="楷体_GB2312"/>
          <w:color w:val="auto"/>
          <w:sz w:val="24"/>
          <w:szCs w:val="24"/>
        </w:rPr>
        <w:t xml:space="preserve">    光能自养型和光能异养型细菌的差异？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</w:p>
    <w:p>
      <w:pPr>
        <w:widowControl/>
        <w:spacing w:line="400" w:lineRule="exact"/>
        <w:jc w:val="center"/>
        <w:rPr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第</w:t>
      </w:r>
      <w:r>
        <w:rPr>
          <w:rFonts w:hint="eastAsia" w:ascii="楷体_GB2312" w:eastAsia="楷体_GB2312"/>
          <w:b/>
          <w:color w:val="auto"/>
          <w:sz w:val="24"/>
          <w:szCs w:val="24"/>
          <w:lang w:eastAsia="zh-Hans"/>
        </w:rPr>
        <w:t>六</w:t>
      </w:r>
      <w:r>
        <w:rPr>
          <w:rFonts w:hint="eastAsia" w:ascii="楷体_GB2312" w:eastAsia="楷体_GB2312"/>
          <w:b/>
          <w:color w:val="auto"/>
          <w:sz w:val="24"/>
          <w:szCs w:val="24"/>
        </w:rPr>
        <w:t>知识模块</w:t>
      </w:r>
      <w:r>
        <w:rPr>
          <w:rFonts w:hint="eastAsia"/>
          <w:b/>
          <w:color w:val="auto"/>
          <w:sz w:val="24"/>
          <w:szCs w:val="24"/>
        </w:rPr>
        <w:t xml:space="preserve">  </w:t>
      </w:r>
      <w:r>
        <w:rPr>
          <w:rFonts w:ascii="楷体_GB2312" w:eastAsia="楷体_GB2312"/>
          <w:b/>
          <w:color w:val="auto"/>
        </w:rPr>
        <w:t>微生物的遗传与变异（</w:t>
      </w:r>
      <w:r>
        <w:rPr>
          <w:rFonts w:hint="default" w:ascii="楷体_GB2312" w:eastAsia="楷体_GB2312"/>
          <w:b/>
          <w:color w:val="auto"/>
        </w:rPr>
        <w:t>6</w:t>
      </w:r>
      <w:r>
        <w:rPr>
          <w:rFonts w:ascii="楷体_GB2312" w:eastAsia="楷体_GB2312"/>
          <w:b/>
          <w:color w:val="auto"/>
        </w:rPr>
        <w:t>学时）</w:t>
      </w:r>
    </w:p>
    <w:p>
      <w:pPr>
        <w:widowControl/>
        <w:spacing w:line="400" w:lineRule="exact"/>
        <w:jc w:val="center"/>
        <w:rPr>
          <w:rFonts w:ascii="楷体_GB2312" w:eastAsia="楷体_GB2312"/>
          <w:b/>
          <w:color w:val="auto"/>
          <w:sz w:val="24"/>
          <w:szCs w:val="24"/>
        </w:rPr>
      </w:pP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【学习内容】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 xml:space="preserve">第一节  </w:t>
      </w: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微生物遗传和变异的现象和意义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 xml:space="preserve">第二节  </w:t>
      </w: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微生物的遗传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 xml:space="preserve">第三节  </w:t>
      </w:r>
      <w:r>
        <w:rPr>
          <w:rFonts w:hint="eastAsia" w:ascii="楷体_GB2312" w:hAnsi="宋体" w:eastAsia="楷体_GB2312" w:cs="宋体"/>
          <w:color w:val="auto"/>
          <w:szCs w:val="24"/>
          <w:shd w:val="clear" w:color="auto" w:fill="FFFFFF"/>
        </w:rPr>
        <w:t>微生物的变异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【重点】</w:t>
      </w:r>
    </w:p>
    <w:p>
      <w:pPr>
        <w:pStyle w:val="6"/>
        <w:widowControl/>
        <w:spacing w:beforeAutospacing="0" w:afterAutospacing="0" w:line="400" w:lineRule="exact"/>
        <w:ind w:firstLine="480" w:firstLineChars="20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1) 遗传的物质基础，证明核酸是遗传变异物质基础的经典实验，DNA的结构与复制规律，遗传信息的传递——基因的表达，中心法则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2) 微生物突变的原因及机制，种类：点突变、移码突变、染色体崎变的特点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3)</w:t>
      </w:r>
      <w:r>
        <w:rPr>
          <w:rFonts w:hint="eastAsia" w:ascii="楷体_GB2312" w:eastAsia="楷体_GB2312"/>
          <w:color w:val="auto"/>
          <w:szCs w:val="24"/>
        </w:rPr>
        <w:t xml:space="preserve"> </w:t>
      </w:r>
      <w:r>
        <w:rPr>
          <w:rFonts w:hint="eastAsia" w:ascii="楷体_GB2312" w:hAnsi="宋体" w:eastAsia="楷体_GB2312" w:cs="宋体"/>
          <w:color w:val="auto"/>
          <w:szCs w:val="24"/>
        </w:rPr>
        <w:t>细菌的基因重组的定义，细菌的基因重组的方式——转化、接合、转导，质粒的种类及作用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4)</w:t>
      </w:r>
      <w:r>
        <w:rPr>
          <w:rFonts w:hint="eastAsia" w:ascii="楷体_GB2312" w:eastAsia="楷体_GB2312"/>
          <w:color w:val="auto"/>
          <w:szCs w:val="24"/>
        </w:rPr>
        <w:t xml:space="preserve"> </w:t>
      </w:r>
      <w:r>
        <w:rPr>
          <w:rFonts w:hint="eastAsia" w:ascii="楷体_GB2312" w:hAnsi="宋体" w:eastAsia="楷体_GB2312" w:cs="宋体"/>
          <w:color w:val="auto"/>
          <w:szCs w:val="24"/>
        </w:rPr>
        <w:t>遗传工程在环境工程中的应用，基因工程在工程菌构建中的应用（方法及步骤）</w:t>
      </w:r>
    </w:p>
    <w:p>
      <w:pPr>
        <w:widowControl/>
        <w:spacing w:line="400" w:lineRule="exact"/>
        <w:ind w:firstLine="480" w:firstLineChars="200"/>
        <w:jc w:val="left"/>
        <w:rPr>
          <w:color w:val="auto"/>
          <w:sz w:val="24"/>
          <w:szCs w:val="24"/>
        </w:rPr>
      </w:pP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【难点】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1) 证明核酸是遗传变异物质基础的经典实验。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2) DNA的结构与复制规律，遗传信息的传递——基因的表达，中心法则。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/>
          <w:color w:val="auto"/>
          <w:szCs w:val="24"/>
        </w:rPr>
      </w:pPr>
      <w:r>
        <w:rPr>
          <w:rFonts w:hint="eastAsia" w:ascii="楷体_GB2312" w:hAnsi="宋体" w:eastAsia="楷体_GB2312" w:cs="宋体"/>
          <w:color w:val="auto"/>
          <w:szCs w:val="24"/>
        </w:rPr>
        <w:t>3) 细菌的基因重组的方式。</w:t>
      </w:r>
    </w:p>
    <w:p>
      <w:pPr>
        <w:pStyle w:val="6"/>
        <w:widowControl/>
        <w:spacing w:beforeAutospacing="0" w:afterAutospacing="0" w:line="400" w:lineRule="exact"/>
        <w:ind w:firstLine="480" w:firstLineChars="200"/>
        <w:rPr>
          <w:color w:val="auto"/>
          <w:szCs w:val="24"/>
        </w:rPr>
      </w:pP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【教学方法】</w:t>
      </w:r>
    </w:p>
    <w:p>
      <w:pPr>
        <w:spacing w:line="400" w:lineRule="exact"/>
        <w:ind w:firstLine="480" w:firstLineChars="200"/>
        <w:rPr>
          <w:rFonts w:ascii="楷体_GB2312" w:eastAsia="楷体_GB2312"/>
          <w:color w:val="auto"/>
          <w:sz w:val="24"/>
          <w:szCs w:val="24"/>
        </w:rPr>
      </w:pPr>
      <w:r>
        <w:rPr>
          <w:rFonts w:ascii="楷体_GB2312" w:eastAsia="楷体_GB2312"/>
          <w:color w:val="auto"/>
          <w:sz w:val="24"/>
          <w:szCs w:val="24"/>
        </w:rPr>
        <w:t>讲授法</w:t>
      </w:r>
    </w:p>
    <w:p>
      <w:pPr>
        <w:spacing w:line="400" w:lineRule="exact"/>
        <w:ind w:firstLine="480" w:firstLineChars="200"/>
        <w:rPr>
          <w:rFonts w:hint="eastAsia" w:ascii="楷体_GB2312" w:eastAsia="楷体_GB2312"/>
          <w:color w:val="auto"/>
          <w:sz w:val="24"/>
          <w:szCs w:val="24"/>
          <w:lang w:val="en-US" w:eastAsia="zh-CN"/>
        </w:rPr>
      </w:pPr>
      <w:r>
        <w:rPr>
          <w:rFonts w:hint="eastAsia" w:ascii="楷体_GB2312" w:eastAsia="楷体_GB2312"/>
          <w:color w:val="auto"/>
          <w:sz w:val="24"/>
          <w:szCs w:val="24"/>
          <w:lang w:val="en-US" w:eastAsia="zh-CN"/>
        </w:rPr>
        <w:t>思政元素：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default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>[1] 科技伦理思辨：以CRISPR基因编辑技术为切入点，探讨"设计婴儿"等伦理问题</w:t>
      </w:r>
      <w:r>
        <w:rPr>
          <w:rFonts w:hint="eastAsia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>；</w:t>
      </w:r>
    </w:p>
    <w:p>
      <w:pPr>
        <w:spacing w:line="400" w:lineRule="exact"/>
        <w:ind w:firstLine="480" w:firstLineChars="200"/>
        <w:rPr>
          <w:rFonts w:ascii="楷体_GB2312" w:eastAsia="楷体_GB2312"/>
          <w:color w:val="auto"/>
          <w:sz w:val="24"/>
          <w:szCs w:val="24"/>
        </w:rPr>
      </w:pPr>
      <w:r>
        <w:rPr>
          <w:rFonts w:hint="default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>[2] 创新驱动发展：通过我国首例合成酵母染色体工程，解读科技强国战略</w:t>
      </w:r>
      <w:r>
        <w:rPr>
          <w:rFonts w:hint="eastAsia" w:ascii="楷体_GB2312" w:hAnsi="宋体" w:eastAsia="楷体_GB2312" w:cs="宋体"/>
          <w:color w:val="auto"/>
          <w:kern w:val="0"/>
          <w:sz w:val="24"/>
          <w:szCs w:val="24"/>
          <w:lang w:val="en-US" w:eastAsia="zh-CN" w:bidi="ar-SA"/>
        </w:rPr>
        <w:t>。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【复习思考】</w:t>
      </w:r>
    </w:p>
    <w:p>
      <w:pPr>
        <w:spacing w:line="400" w:lineRule="exact"/>
        <w:ind w:firstLine="495"/>
        <w:rPr>
          <w:rFonts w:ascii="楷体_GB2312" w:eastAsia="楷体_GB2312"/>
          <w:color w:val="auto"/>
          <w:sz w:val="24"/>
          <w:szCs w:val="24"/>
        </w:rPr>
      </w:pPr>
      <w:r>
        <w:rPr>
          <w:rFonts w:hint="eastAsia" w:ascii="楷体_GB2312" w:eastAsia="楷体_GB2312"/>
          <w:color w:val="auto"/>
          <w:sz w:val="24"/>
          <w:szCs w:val="24"/>
        </w:rPr>
        <w:t>基因组的概念？</w:t>
      </w:r>
    </w:p>
    <w:p>
      <w:pPr>
        <w:spacing w:line="400" w:lineRule="exact"/>
        <w:ind w:firstLine="495"/>
        <w:rPr>
          <w:rFonts w:ascii="楷体_GB2312" w:eastAsia="楷体_GB2312"/>
          <w:b/>
          <w:color w:val="auto"/>
          <w:sz w:val="24"/>
          <w:szCs w:val="24"/>
        </w:rPr>
      </w:pPr>
    </w:p>
    <w:p>
      <w:pPr>
        <w:widowControl/>
        <w:spacing w:line="400" w:lineRule="exact"/>
        <w:jc w:val="center"/>
        <w:rPr>
          <w:rFonts w:ascii="楷体_GB2312" w:eastAsia="楷体_GB2312"/>
          <w:b/>
          <w:color w:val="auto"/>
          <w:sz w:val="24"/>
          <w:szCs w:val="24"/>
          <w:lang w:eastAsia="zh-Hans"/>
        </w:rPr>
      </w:pPr>
      <w:r>
        <w:rPr>
          <w:rFonts w:hint="eastAsia" w:ascii="楷体_GB2312" w:eastAsia="楷体_GB2312"/>
          <w:b/>
          <w:color w:val="auto"/>
          <w:sz w:val="24"/>
          <w:szCs w:val="24"/>
          <w:lang w:eastAsia="zh-Hans"/>
        </w:rPr>
        <w:t xml:space="preserve">第七知识模块  </w:t>
      </w:r>
      <w:r>
        <w:rPr>
          <w:rFonts w:ascii="楷体_GB2312" w:eastAsia="楷体_GB2312"/>
          <w:b/>
          <w:color w:val="auto"/>
          <w:lang w:eastAsia="zh-Hans"/>
        </w:rPr>
        <w:t>微生物生态学（</w:t>
      </w:r>
      <w:r>
        <w:rPr>
          <w:rFonts w:hint="eastAsia" w:ascii="楷体_GB2312" w:eastAsia="楷体_GB2312"/>
          <w:b/>
          <w:color w:val="auto"/>
          <w:lang w:val="en-US" w:eastAsia="zh-CN"/>
        </w:rPr>
        <w:t>4</w:t>
      </w:r>
      <w:r>
        <w:rPr>
          <w:rFonts w:ascii="楷体_GB2312" w:eastAsia="楷体_GB2312"/>
          <w:b/>
          <w:color w:val="auto"/>
          <w:lang w:eastAsia="zh-Hans"/>
        </w:rPr>
        <w:t>学时）</w:t>
      </w:r>
    </w:p>
    <w:p>
      <w:pPr>
        <w:widowControl/>
        <w:spacing w:line="400" w:lineRule="exact"/>
        <w:jc w:val="center"/>
        <w:rPr>
          <w:rFonts w:ascii="楷体_GB2312" w:eastAsia="楷体_GB2312"/>
          <w:b/>
          <w:color w:val="auto"/>
          <w:sz w:val="24"/>
          <w:szCs w:val="24"/>
        </w:rPr>
      </w:pP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【学习内容】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auto"/>
          <w:kern w:val="2"/>
        </w:rPr>
      </w:pPr>
      <w:r>
        <w:rPr>
          <w:rFonts w:hint="eastAsia" w:ascii="楷体_GB2312" w:eastAsia="楷体_GB2312" w:cstheme="minorBidi"/>
          <w:color w:val="auto"/>
          <w:kern w:val="2"/>
        </w:rPr>
        <w:t>第一节  生态学原理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auto"/>
          <w:kern w:val="2"/>
        </w:rPr>
      </w:pPr>
      <w:r>
        <w:rPr>
          <w:rFonts w:hint="eastAsia" w:ascii="楷体_GB2312" w:eastAsia="楷体_GB2312" w:cstheme="minorBidi"/>
          <w:color w:val="auto"/>
          <w:kern w:val="2"/>
        </w:rPr>
        <w:t>第二节  土壤中的微生物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auto"/>
          <w:kern w:val="2"/>
        </w:rPr>
      </w:pPr>
      <w:r>
        <w:rPr>
          <w:rFonts w:hint="eastAsia" w:ascii="楷体_GB2312" w:eastAsia="楷体_GB2312" w:cstheme="minorBidi"/>
          <w:color w:val="auto"/>
          <w:kern w:val="2"/>
        </w:rPr>
        <w:t>第三节  空气中的微生物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auto"/>
          <w:kern w:val="2"/>
        </w:rPr>
      </w:pPr>
      <w:r>
        <w:rPr>
          <w:rFonts w:hint="eastAsia" w:ascii="楷体_GB2312" w:eastAsia="楷体_GB2312" w:cstheme="minorBidi"/>
          <w:color w:val="auto"/>
          <w:kern w:val="2"/>
        </w:rPr>
        <w:t>第四节  水体中的微生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auto"/>
          <w:kern w:val="2"/>
        </w:rPr>
      </w:pPr>
      <w:r>
        <w:rPr>
          <w:rFonts w:hint="eastAsia" w:ascii="楷体_GB2312" w:eastAsia="楷体_GB2312" w:cstheme="minorBidi"/>
          <w:color w:val="auto"/>
          <w:kern w:val="2"/>
        </w:rPr>
        <w:t>第五节  微生物之间及其与动、植物间的相互关系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【重点】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auto"/>
          <w:kern w:val="2"/>
        </w:rPr>
      </w:pPr>
      <w:r>
        <w:rPr>
          <w:rFonts w:hint="eastAsia" w:ascii="楷体_GB2312" w:eastAsia="楷体_GB2312" w:cstheme="minorBidi"/>
          <w:color w:val="auto"/>
          <w:kern w:val="2"/>
        </w:rPr>
        <w:t>1）概念：菌根、根瘤、微生物种群间中立生活、偏利作用和竞争作用的含义。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auto"/>
          <w:kern w:val="2"/>
        </w:rPr>
      </w:pPr>
      <w:r>
        <w:rPr>
          <w:rFonts w:hint="eastAsia" w:ascii="楷体_GB2312" w:eastAsia="楷体_GB2312" w:cstheme="minorBidi"/>
          <w:color w:val="auto"/>
          <w:kern w:val="2"/>
        </w:rPr>
        <w:t>2）土壤是微生物的合适生境。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auto"/>
          <w:kern w:val="2"/>
        </w:rPr>
      </w:pPr>
      <w:r>
        <w:rPr>
          <w:rFonts w:hint="eastAsia" w:ascii="楷体_GB2312" w:eastAsia="楷体_GB2312" w:cstheme="minorBidi"/>
          <w:color w:val="auto"/>
          <w:kern w:val="2"/>
        </w:rPr>
        <w:t>3）微生物之间及其与动、植物间的相互关系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auto"/>
          <w:kern w:val="2"/>
        </w:rPr>
      </w:pPr>
      <w:r>
        <w:rPr>
          <w:rFonts w:hint="eastAsia" w:ascii="楷体_GB2312" w:eastAsia="楷体_GB2312" w:cstheme="minorBidi"/>
          <w:color w:val="auto"/>
          <w:kern w:val="2"/>
        </w:rPr>
        <w:t>4）空气中微生物存在的特点以及与人类的关系（有益和有害）；水体中微生物存在的特点以及与人类的关系（有益和有害）</w:t>
      </w:r>
    </w:p>
    <w:p>
      <w:pPr>
        <w:spacing w:line="400" w:lineRule="exact"/>
        <w:rPr>
          <w:rFonts w:ascii="楷体_GB2312" w:eastAsia="楷体_GB2312"/>
          <w:color w:val="auto"/>
          <w:sz w:val="24"/>
        </w:rPr>
      </w:pPr>
      <w:r>
        <w:rPr>
          <w:rFonts w:hint="eastAsia" w:ascii="楷体_GB2312" w:eastAsia="楷体_GB2312"/>
          <w:color w:val="auto"/>
          <w:sz w:val="24"/>
        </w:rPr>
        <w:t>【难点】</w:t>
      </w:r>
    </w:p>
    <w:p>
      <w:pPr>
        <w:widowControl/>
        <w:spacing w:line="400" w:lineRule="exact"/>
        <w:ind w:firstLine="480" w:firstLineChars="200"/>
        <w:jc w:val="left"/>
        <w:rPr>
          <w:rFonts w:ascii="楷体_GB2312" w:eastAsia="楷体_GB2312"/>
          <w:color w:val="auto"/>
          <w:sz w:val="24"/>
        </w:rPr>
      </w:pPr>
      <w:r>
        <w:rPr>
          <w:rFonts w:hint="eastAsia" w:ascii="楷体_GB2312" w:eastAsia="楷体_GB2312"/>
          <w:color w:val="auto"/>
          <w:sz w:val="24"/>
        </w:rPr>
        <w:t>掌握微生物的分布与自然环境的关系，微生物种群的相互作用。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【教学方法】</w:t>
      </w:r>
    </w:p>
    <w:p>
      <w:pPr>
        <w:spacing w:line="400" w:lineRule="exact"/>
        <w:ind w:firstLine="480" w:firstLineChars="200"/>
        <w:rPr>
          <w:rFonts w:ascii="楷体_GB2312" w:eastAsia="楷体_GB2312"/>
          <w:color w:val="auto"/>
          <w:sz w:val="24"/>
          <w:szCs w:val="24"/>
        </w:rPr>
      </w:pPr>
      <w:r>
        <w:rPr>
          <w:rFonts w:ascii="楷体_GB2312" w:eastAsia="楷体_GB2312"/>
          <w:color w:val="auto"/>
          <w:sz w:val="24"/>
          <w:szCs w:val="24"/>
        </w:rPr>
        <w:t>讲授法</w:t>
      </w:r>
    </w:p>
    <w:p>
      <w:pPr>
        <w:spacing w:line="400" w:lineRule="exact"/>
        <w:ind w:firstLine="480" w:firstLineChars="200"/>
        <w:rPr>
          <w:rFonts w:hint="eastAsia" w:ascii="楷体_GB2312" w:eastAsia="楷体_GB2312"/>
          <w:color w:val="auto"/>
          <w:sz w:val="24"/>
          <w:szCs w:val="24"/>
          <w:lang w:val="en-US" w:eastAsia="zh-CN"/>
        </w:rPr>
      </w:pPr>
      <w:r>
        <w:rPr>
          <w:rFonts w:hint="eastAsia" w:ascii="楷体_GB2312" w:eastAsia="楷体_GB2312"/>
          <w:color w:val="auto"/>
          <w:sz w:val="24"/>
          <w:szCs w:val="24"/>
          <w:lang w:val="en-US" w:eastAsia="zh-CN"/>
        </w:rPr>
        <w:t>思政元素：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default" w:ascii="楷体_GB2312" w:hAnsi="宋体" w:eastAsia="楷体_GB2312" w:cs="宋体"/>
          <w:color w:val="auto"/>
          <w:kern w:val="0"/>
          <w:sz w:val="24"/>
          <w:szCs w:val="24"/>
          <w:shd w:val="clear" w:color="auto" w:fill="FFFFFF"/>
          <w:lang w:val="en-US" w:eastAsia="zh-CN"/>
        </w:rPr>
        <w:t xml:space="preserve">[1] </w:t>
      </w:r>
      <w:r>
        <w:rPr>
          <w:rFonts w:hint="eastAsia" w:ascii="楷体_GB2312" w:hAnsi="宋体" w:eastAsia="楷体_GB2312" w:cs="宋体"/>
          <w:color w:val="auto"/>
          <w:kern w:val="0"/>
          <w:sz w:val="24"/>
          <w:szCs w:val="24"/>
          <w:shd w:val="clear" w:color="auto" w:fill="FFFFFF"/>
          <w:lang w:val="en-US" w:eastAsia="zh-CN"/>
        </w:rPr>
        <w:t>生态文明建设：以土壤微生物多样性保护为例，阐释"山水林田湖草沙"系统治理理念；</w:t>
      </w:r>
    </w:p>
    <w:p>
      <w:pPr>
        <w:spacing w:line="400" w:lineRule="exact"/>
        <w:ind w:firstLine="480" w:firstLineChars="200"/>
        <w:rPr>
          <w:rFonts w:ascii="楷体_GB2312" w:eastAsia="楷体_GB2312"/>
          <w:color w:val="auto"/>
          <w:sz w:val="24"/>
          <w:szCs w:val="24"/>
        </w:rPr>
      </w:pPr>
      <w:r>
        <w:rPr>
          <w:rFonts w:hint="default" w:ascii="楷体_GB2312" w:hAnsi="宋体" w:eastAsia="楷体_GB2312" w:cs="宋体"/>
          <w:color w:val="auto"/>
          <w:kern w:val="0"/>
          <w:sz w:val="24"/>
          <w:szCs w:val="24"/>
          <w:shd w:val="clear" w:color="auto" w:fill="FFFFFF"/>
          <w:lang w:val="en-US" w:eastAsia="zh-CN"/>
        </w:rPr>
        <w:t>[2] 协同发展观：解析根瘤菌-植物共生系统，引申人类命运共同体理念</w:t>
      </w:r>
      <w:r>
        <w:rPr>
          <w:rFonts w:hint="eastAsia" w:ascii="楷体_GB2312" w:hAnsi="宋体" w:eastAsia="楷体_GB2312" w:cs="宋体"/>
          <w:color w:val="auto"/>
          <w:kern w:val="0"/>
          <w:sz w:val="24"/>
          <w:szCs w:val="24"/>
          <w:shd w:val="clear" w:color="auto" w:fill="FFFFFF"/>
          <w:lang w:val="en-US" w:eastAsia="zh-CN"/>
        </w:rPr>
        <w:t>。</w:t>
      </w:r>
    </w:p>
    <w:p>
      <w:pPr>
        <w:spacing w:line="400" w:lineRule="exact"/>
        <w:rPr>
          <w:rFonts w:ascii="楷体_GB2312" w:eastAsia="楷体_GB2312"/>
          <w:b/>
          <w:color w:val="auto"/>
          <w:sz w:val="24"/>
          <w:szCs w:val="24"/>
        </w:rPr>
      </w:pPr>
      <w:r>
        <w:rPr>
          <w:rFonts w:hint="eastAsia" w:ascii="楷体_GB2312" w:eastAsia="楷体_GB2312"/>
          <w:b/>
          <w:color w:val="auto"/>
          <w:sz w:val="24"/>
          <w:szCs w:val="24"/>
        </w:rPr>
        <w:t>【复习思考】</w:t>
      </w:r>
    </w:p>
    <w:p>
      <w:pPr>
        <w:spacing w:line="400" w:lineRule="exact"/>
        <w:ind w:firstLine="495"/>
        <w:rPr>
          <w:rFonts w:ascii="楷体_GB2312" w:eastAsia="楷体_GB2312"/>
          <w:color w:val="auto"/>
          <w:sz w:val="24"/>
        </w:rPr>
      </w:pPr>
      <w:r>
        <w:rPr>
          <w:rFonts w:hint="eastAsia" w:ascii="楷体_GB2312" w:eastAsia="楷体_GB2312"/>
          <w:color w:val="auto"/>
          <w:sz w:val="24"/>
        </w:rPr>
        <w:t>为什么土壤是微生物最主要的分布场所？</w:t>
      </w:r>
    </w:p>
    <w:p>
      <w:pPr>
        <w:spacing w:line="400" w:lineRule="exact"/>
        <w:ind w:firstLine="495"/>
        <w:rPr>
          <w:rFonts w:ascii="楷体_GB2312" w:eastAsia="楷体_GB2312"/>
          <w:b/>
          <w:sz w:val="24"/>
          <w:szCs w:val="24"/>
        </w:rPr>
      </w:pPr>
    </w:p>
    <w:p>
      <w:pPr>
        <w:widowControl/>
        <w:spacing w:line="400" w:lineRule="exact"/>
        <w:jc w:val="center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 xml:space="preserve">第八知识模块  </w:t>
      </w:r>
      <w:r>
        <w:rPr>
          <w:rFonts w:ascii="楷体_GB2312" w:eastAsia="楷体_GB2312"/>
          <w:b/>
        </w:rPr>
        <w:t>微生物与环境污染控制与治理（</w:t>
      </w:r>
      <w:r>
        <w:rPr>
          <w:rFonts w:hint="default" w:ascii="楷体_GB2312" w:eastAsia="楷体_GB2312"/>
          <w:b/>
        </w:rPr>
        <w:t>6</w:t>
      </w:r>
      <w:r>
        <w:rPr>
          <w:rFonts w:ascii="楷体_GB2312" w:eastAsia="楷体_GB2312"/>
          <w:b/>
        </w:rPr>
        <w:t>学时）</w:t>
      </w:r>
    </w:p>
    <w:p>
      <w:pPr>
        <w:widowControl/>
        <w:spacing w:line="400" w:lineRule="exact"/>
        <w:jc w:val="center"/>
        <w:rPr>
          <w:rFonts w:ascii="楷体_GB2312" w:eastAsia="楷体_GB2312"/>
          <w:b/>
          <w:sz w:val="24"/>
          <w:szCs w:val="24"/>
        </w:rPr>
      </w:pP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【学习内容】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第一节  废水好氧生物处理中的微生物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第二节  厌氧生物处理中的微生物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第三节  废水的脱氮和除磷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第四节  有机固体废物处理中的微生物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第五节  废气生物处理中的微生物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第六节   环境监测与微生物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第七节   环境生物修复技术与微生物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第八节   微生物与大气CO2固定</w:t>
      </w: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【重点】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1）概念：活性污泥、生物膜、生物修复。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2）废水、废气处理原则及方法。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3）环境监测、保护及修复与微生物的关系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3）废弃物微生物处理的优点</w:t>
      </w: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【难点】</w:t>
      </w:r>
    </w:p>
    <w:p>
      <w:pPr>
        <w:widowControl/>
        <w:spacing w:line="400" w:lineRule="exact"/>
        <w:ind w:firstLine="480" w:firstLineChars="200"/>
        <w:jc w:val="left"/>
        <w:rPr>
          <w:rFonts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掌握利用微生物处理环境中的问题。</w:t>
      </w: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【教学方法】</w:t>
      </w:r>
    </w:p>
    <w:p>
      <w:pPr>
        <w:spacing w:line="360" w:lineRule="auto"/>
        <w:ind w:firstLine="480" w:firstLineChars="200"/>
        <w:rPr>
          <w:rFonts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讲授法</w:t>
      </w:r>
    </w:p>
    <w:p>
      <w:pPr>
        <w:spacing w:line="400" w:lineRule="exact"/>
        <w:ind w:firstLine="480" w:firstLineChars="200"/>
        <w:rPr>
          <w:rFonts w:hint="eastAsia" w:ascii="楷体_GB2312" w:eastAsia="楷体_GB2312"/>
          <w:color w:val="auto"/>
          <w:sz w:val="24"/>
          <w:szCs w:val="24"/>
          <w:lang w:val="en-US" w:eastAsia="zh-CN"/>
        </w:rPr>
      </w:pPr>
      <w:r>
        <w:rPr>
          <w:rFonts w:hint="eastAsia" w:ascii="楷体_GB2312" w:eastAsia="楷体_GB2312"/>
          <w:color w:val="auto"/>
          <w:sz w:val="24"/>
          <w:szCs w:val="24"/>
          <w:lang w:val="en-US" w:eastAsia="zh-CN"/>
        </w:rPr>
        <w:t>思政元素：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  <w:t>[1] 美丽中国实践：展示我国污水处理微生物技术的创新成果（如脱氮除磷菌剂），增强制度自信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  <w:t>；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  <w:t>[2] 科技报国情怀：介绍中国科学家在生物修复重金属污染土壤的突破，激发使命担当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  <w:t>；</w:t>
      </w:r>
    </w:p>
    <w:p>
      <w:pPr>
        <w:spacing w:line="400" w:lineRule="exact"/>
        <w:ind w:firstLine="480" w:firstLineChars="200"/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  <w:t>[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  <w:t>3</w:t>
      </w:r>
      <w:r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  <w:t>] 绿色发展观：通过产甲烷菌生物质能开发案例，探讨"双碳"战略实施路径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 w:bidi="ar-SA"/>
        </w:rPr>
        <w:t>。</w:t>
      </w: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【复习思考】</w:t>
      </w:r>
    </w:p>
    <w:p>
      <w:pPr>
        <w:spacing w:line="360" w:lineRule="auto"/>
        <w:ind w:firstLine="480"/>
        <w:rPr>
          <w:rFonts w:hint="eastAsia"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什么是微生物生物修复技术？</w:t>
      </w:r>
    </w:p>
    <w:p>
      <w:pPr>
        <w:spacing w:line="360" w:lineRule="auto"/>
        <w:ind w:firstLine="480"/>
        <w:rPr>
          <w:rFonts w:hint="eastAsia"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idowControl/>
        <w:spacing w:line="400" w:lineRule="exact"/>
        <w:jc w:val="center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第</w:t>
      </w:r>
      <w:r>
        <w:rPr>
          <w:rFonts w:hint="eastAsia" w:ascii="楷体_GB2312" w:eastAsia="楷体_GB2312"/>
          <w:b/>
          <w:sz w:val="24"/>
          <w:szCs w:val="24"/>
          <w:lang w:val="en-US" w:eastAsia="zh-CN"/>
        </w:rPr>
        <w:t>九</w:t>
      </w:r>
      <w:r>
        <w:rPr>
          <w:rFonts w:hint="eastAsia" w:ascii="楷体_GB2312" w:eastAsia="楷体_GB2312"/>
          <w:b/>
          <w:sz w:val="24"/>
          <w:szCs w:val="24"/>
        </w:rPr>
        <w:t xml:space="preserve">知识模块  </w:t>
      </w:r>
      <w:r>
        <w:rPr>
          <w:rFonts w:hint="eastAsia" w:ascii="楷体_GB2312" w:eastAsia="楷体_GB2312"/>
          <w:b/>
          <w:lang w:val="en-US" w:eastAsia="zh-CN"/>
        </w:rPr>
        <w:t>应用微生物</w:t>
      </w:r>
      <w:r>
        <w:rPr>
          <w:rFonts w:ascii="楷体_GB2312" w:eastAsia="楷体_GB2312"/>
          <w:b/>
        </w:rPr>
        <w:t>（</w:t>
      </w:r>
      <w:r>
        <w:rPr>
          <w:rFonts w:hint="eastAsia" w:ascii="楷体_GB2312" w:eastAsia="楷体_GB2312"/>
          <w:b/>
          <w:lang w:val="en-US" w:eastAsia="zh-CN"/>
        </w:rPr>
        <w:t>12</w:t>
      </w:r>
      <w:r>
        <w:rPr>
          <w:rFonts w:ascii="楷体_GB2312" w:eastAsia="楷体_GB2312"/>
          <w:b/>
        </w:rPr>
        <w:t>学时）</w:t>
      </w:r>
    </w:p>
    <w:p>
      <w:pPr>
        <w:widowControl/>
        <w:spacing w:line="400" w:lineRule="exact"/>
        <w:jc w:val="center"/>
        <w:rPr>
          <w:rFonts w:ascii="楷体_GB2312" w:eastAsia="楷体_GB2312"/>
          <w:b/>
          <w:sz w:val="24"/>
          <w:szCs w:val="24"/>
        </w:rPr>
      </w:pP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【学习内容】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第一节工业微生物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一、有机酸的发酵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二、氨基酸和核苷酸发酵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三、抗生素发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第二节能源微生物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一、甲烷发酵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二、燃料酒精发酵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三、微生物制氢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四、微生物油脂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五、生物电池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第三节发酵食品微生物及其质量控制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一、发酵食品中的微生物种类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二、污染食品的微生物种类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第三节发酵食品微生物及其质量控制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三、食品微生物学质量控制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四、食品质量管理与控制体系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第三节发酵食品微生物及其质量控制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一、发酵食品中的微生物种类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二、污染食品的微生物种类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三、食品微生物学质量控制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四、食品质量管理与控制体系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第四节微生物与免疫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一、抗原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二、抗体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三、细菌毒素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四、多克隆抗体和单克隆抗体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五、现代免疫检测技术</w:t>
      </w: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【重点】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1）概念：甲烷发酵、发酵。</w:t>
      </w:r>
    </w:p>
    <w:p>
      <w:pPr>
        <w:pStyle w:val="6"/>
        <w:widowControl/>
        <w:spacing w:beforeAutospacing="0" w:afterAutospacing="0" w:line="400" w:lineRule="exact"/>
        <w:ind w:firstLine="640"/>
        <w:rPr>
          <w:rFonts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2）食品微生物</w:t>
      </w:r>
      <w:r>
        <w:rPr>
          <w:rFonts w:hint="eastAsia" w:ascii="楷体_GB2312" w:eastAsia="楷体_GB2312" w:cstheme="minorBidi"/>
          <w:color w:val="000000" w:themeColor="text1"/>
          <w:kern w:val="2"/>
          <w:lang w:val="en-US" w:eastAsia="zh-CN"/>
          <w14:textFill>
            <w14:solidFill>
              <w14:schemeClr w14:val="tx1"/>
            </w14:solidFill>
          </w14:textFill>
        </w:rPr>
        <w:t>资源及分类</w:t>
      </w:r>
      <w:r>
        <w:rPr>
          <w:rFonts w:hint="eastAsia" w:ascii="楷体_GB2312" w:eastAsia="楷体_GB2312" w:cstheme="minorBidi"/>
          <w:color w:val="000000" w:themeColor="text1"/>
          <w:kern w:val="2"/>
          <w14:textFill>
            <w14:solidFill>
              <w14:schemeClr w14:val="tx1"/>
            </w14:solidFill>
          </w14:textFill>
        </w:rPr>
        <w:t>。</w:t>
      </w: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【难点】</w:t>
      </w:r>
    </w:p>
    <w:p>
      <w:pPr>
        <w:widowControl/>
        <w:spacing w:line="400" w:lineRule="exact"/>
        <w:ind w:firstLine="480" w:firstLineChars="200"/>
        <w:jc w:val="left"/>
        <w:rPr>
          <w:rFonts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微生物扩大培养与抑制杂菌生长</w:t>
      </w:r>
      <w:r>
        <w:rPr>
          <w:rFonts w:hint="eastAsia"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【教学方法】</w:t>
      </w:r>
    </w:p>
    <w:p>
      <w:pPr>
        <w:spacing w:line="360" w:lineRule="auto"/>
        <w:ind w:firstLine="480" w:firstLineChars="200"/>
        <w:rPr>
          <w:rFonts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讲授法</w:t>
      </w:r>
    </w:p>
    <w:p>
      <w:pPr>
        <w:spacing w:line="400" w:lineRule="exact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【复习思考】</w:t>
      </w:r>
    </w:p>
    <w:p>
      <w:pPr>
        <w:spacing w:line="360" w:lineRule="auto"/>
        <w:ind w:firstLine="480"/>
        <w:rPr>
          <w:rFonts w:hint="eastAsia"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什么是</w:t>
      </w:r>
      <w:r>
        <w:rPr>
          <w:rFonts w:hint="eastAsia" w:ascii="楷体_GB2312" w:eastAsia="楷体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单克隆抗体</w:t>
      </w:r>
      <w:r>
        <w:rPr>
          <w:rFonts w:hint="eastAsia"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？</w:t>
      </w:r>
    </w:p>
    <w:p>
      <w:pPr>
        <w:spacing w:line="360" w:lineRule="auto"/>
        <w:rPr>
          <w:rFonts w:ascii="楷体_GB2312" w:eastAsia="楷体_GB2312"/>
          <w:b/>
          <w:color w:val="FF0000"/>
          <w:sz w:val="24"/>
        </w:rPr>
      </w:pPr>
    </w:p>
    <w:p>
      <w:pPr>
        <w:spacing w:line="360" w:lineRule="auto"/>
        <w:ind w:firstLine="361" w:firstLineChars="150"/>
        <w:rPr>
          <w:rFonts w:ascii="仿宋" w:hAnsi="仿宋" w:eastAsia="仿宋"/>
          <w:b/>
          <w:sz w:val="28"/>
        </w:rPr>
      </w:pPr>
      <w:r>
        <w:rPr>
          <w:rFonts w:hint="eastAsia" w:ascii="宋体" w:hAnsi="宋体"/>
          <w:b/>
          <w:color w:val="000000"/>
          <w:sz w:val="24"/>
        </w:rPr>
        <w:t>五、课程考核</w:t>
      </w:r>
    </w:p>
    <w:p>
      <w:pPr>
        <w:spacing w:line="360" w:lineRule="auto"/>
        <w:ind w:firstLine="480" w:firstLineChars="200"/>
        <w:rPr>
          <w:rFonts w:ascii="方正小标宋_GBK" w:eastAsia="方正小标宋_GBK"/>
          <w:b/>
          <w:sz w:val="24"/>
        </w:rPr>
      </w:pPr>
      <w:r>
        <w:rPr>
          <w:rFonts w:hint="eastAsia"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课程考核方式分为平时考核和期末</w:t>
      </w:r>
      <w:r>
        <w:rPr>
          <w:rFonts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考核</w:t>
      </w:r>
      <w:r>
        <w:rPr>
          <w:rFonts w:hint="eastAsia"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。平时考核方式包括</w:t>
      </w:r>
      <w:r>
        <w:rPr>
          <w:rFonts w:hint="eastAsia" w:ascii="楷体_GB2312" w:eastAsia="楷体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 3666  </w:t>
      </w:r>
      <w:r>
        <w:rPr>
          <w:rFonts w:hint="eastAsia"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课堂表现、平时作业、阶段性测试。</w:t>
      </w:r>
    </w:p>
    <w:tbl>
      <w:tblPr>
        <w:tblStyle w:val="8"/>
        <w:tblW w:w="7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3251"/>
        <w:gridCol w:w="709"/>
        <w:gridCol w:w="850"/>
        <w:gridCol w:w="851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227" w:type="dxa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/>
                <w:szCs w:val="21"/>
              </w:rPr>
              <w:t>课程目标</w:t>
            </w:r>
          </w:p>
        </w:tc>
        <w:tc>
          <w:tcPr>
            <w:tcW w:w="3251" w:type="dxa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/>
                <w:szCs w:val="21"/>
              </w:rPr>
              <w:t>考核内容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所属模块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占比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考核方式</w:t>
            </w:r>
          </w:p>
        </w:tc>
        <w:tc>
          <w:tcPr>
            <w:tcW w:w="851" w:type="dxa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评价</w:t>
            </w:r>
            <w:r>
              <w:rPr>
                <w:rFonts w:ascii="楷体_GB2312" w:eastAsia="楷体_GB2312"/>
                <w:szCs w:val="21"/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课程目标1</w:t>
            </w:r>
          </w:p>
        </w:tc>
        <w:tc>
          <w:tcPr>
            <w:tcW w:w="3251" w:type="dxa"/>
            <w:vAlign w:val="center"/>
          </w:tcPr>
          <w:p>
            <w:pPr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1</w:t>
            </w:r>
            <w:r>
              <w:rPr>
                <w:rFonts w:ascii="楷体_GB2312" w:eastAsia="楷体_GB2312"/>
                <w:szCs w:val="21"/>
              </w:rPr>
              <w:t>.</w:t>
            </w:r>
            <w:r>
              <w:rPr>
                <w:rFonts w:hint="eastAsia" w:ascii="楷体_GB2312" w:eastAsia="楷体_GB2312"/>
                <w:szCs w:val="21"/>
              </w:rPr>
              <w:t>病毒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第二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10%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平时考核和期末考核相结合</w:t>
            </w:r>
          </w:p>
        </w:tc>
        <w:tc>
          <w:tcPr>
            <w:tcW w:w="851" w:type="dxa"/>
            <w:vMerge w:val="restart"/>
          </w:tcPr>
          <w:p>
            <w:pPr>
              <w:jc w:val="left"/>
              <w:rPr>
                <w:rFonts w:ascii="楷体_GB2312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251" w:type="dxa"/>
            <w:vAlign w:val="center"/>
          </w:tcPr>
          <w:p>
            <w:pPr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2</w:t>
            </w:r>
            <w:r>
              <w:rPr>
                <w:rFonts w:ascii="楷体_GB2312" w:eastAsia="楷体_GB2312"/>
                <w:szCs w:val="21"/>
              </w:rPr>
              <w:t>.</w:t>
            </w:r>
            <w:r>
              <w:rPr>
                <w:rFonts w:hint="eastAsia" w:ascii="楷体_GB2312" w:eastAsia="楷体_GB2312"/>
                <w:szCs w:val="21"/>
              </w:rPr>
              <w:t>原核微生物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第三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20%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left"/>
              <w:rPr>
                <w:rFonts w:ascii="楷体_GB2312" w:eastAsia="楷体_GB2312"/>
                <w:szCs w:val="21"/>
              </w:rPr>
            </w:pPr>
          </w:p>
        </w:tc>
        <w:tc>
          <w:tcPr>
            <w:tcW w:w="851" w:type="dxa"/>
            <w:vMerge w:val="continue"/>
          </w:tcPr>
          <w:p>
            <w:pPr>
              <w:jc w:val="left"/>
              <w:rPr>
                <w:rFonts w:ascii="楷体_GB2312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251" w:type="dxa"/>
            <w:vAlign w:val="center"/>
          </w:tcPr>
          <w:p>
            <w:pPr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3</w:t>
            </w:r>
            <w:r>
              <w:rPr>
                <w:rFonts w:ascii="楷体_GB2312" w:eastAsia="楷体_GB2312"/>
                <w:szCs w:val="21"/>
              </w:rPr>
              <w:t>.</w:t>
            </w:r>
            <w:r>
              <w:rPr>
                <w:rFonts w:hint="eastAsia" w:ascii="楷体_GB2312" w:eastAsia="楷体_GB2312"/>
                <w:szCs w:val="21"/>
              </w:rPr>
              <w:t>真核微生物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第四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1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>0</w:t>
            </w:r>
            <w:r>
              <w:rPr>
                <w:rFonts w:hint="eastAsia" w:ascii="楷体_GB2312" w:eastAsia="楷体_GB2312"/>
                <w:szCs w:val="21"/>
              </w:rPr>
              <w:t>%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left"/>
              <w:rPr>
                <w:rFonts w:ascii="楷体_GB2312" w:eastAsia="楷体_GB2312"/>
                <w:szCs w:val="21"/>
              </w:rPr>
            </w:pPr>
          </w:p>
        </w:tc>
        <w:tc>
          <w:tcPr>
            <w:tcW w:w="851" w:type="dxa"/>
            <w:vMerge w:val="continue"/>
          </w:tcPr>
          <w:p>
            <w:pPr>
              <w:jc w:val="left"/>
              <w:rPr>
                <w:rFonts w:ascii="楷体_GB2312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251" w:type="dxa"/>
            <w:vAlign w:val="center"/>
          </w:tcPr>
          <w:p>
            <w:pPr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4.微生物的营养与生长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第五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15</w:t>
            </w:r>
            <w:r>
              <w:rPr>
                <w:rFonts w:hint="eastAsia" w:ascii="楷体_GB2312" w:eastAsia="楷体_GB2312"/>
                <w:szCs w:val="21"/>
              </w:rPr>
              <w:t>%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left"/>
              <w:rPr>
                <w:rFonts w:ascii="楷体_GB2312" w:eastAsia="楷体_GB2312"/>
                <w:szCs w:val="21"/>
              </w:rPr>
            </w:pPr>
          </w:p>
        </w:tc>
        <w:tc>
          <w:tcPr>
            <w:tcW w:w="851" w:type="dxa"/>
            <w:vMerge w:val="continue"/>
          </w:tcPr>
          <w:p>
            <w:pPr>
              <w:jc w:val="left"/>
              <w:rPr>
                <w:rFonts w:ascii="楷体_GB2312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251" w:type="dxa"/>
            <w:vAlign w:val="center"/>
          </w:tcPr>
          <w:p>
            <w:pPr>
              <w:rPr>
                <w:rFonts w:ascii="楷体_GB2312" w:eastAsia="楷体_GB2312"/>
                <w:szCs w:val="21"/>
              </w:rPr>
            </w:pPr>
            <w:r>
              <w:rPr>
                <w:rFonts w:hint="default" w:ascii="楷体_GB2312" w:eastAsia="楷体_GB2312"/>
                <w:szCs w:val="21"/>
                <w:lang w:val="en-US"/>
              </w:rPr>
              <w:t>5</w:t>
            </w:r>
            <w:r>
              <w:rPr>
                <w:rFonts w:hint="eastAsia" w:ascii="楷体_GB2312" w:eastAsia="楷体_GB2312"/>
                <w:szCs w:val="21"/>
              </w:rPr>
              <w:t>.微生物的遗传与变异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第六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10</w:t>
            </w:r>
            <w:r>
              <w:rPr>
                <w:rFonts w:hint="eastAsia" w:ascii="楷体_GB2312" w:eastAsia="楷体_GB2312"/>
                <w:szCs w:val="21"/>
              </w:rPr>
              <w:t>%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jc w:val="left"/>
              <w:rPr>
                <w:rFonts w:ascii="楷体_GB2312" w:eastAsia="楷体_GB2312"/>
                <w:szCs w:val="21"/>
              </w:rPr>
            </w:pPr>
          </w:p>
        </w:tc>
        <w:tc>
          <w:tcPr>
            <w:tcW w:w="851" w:type="dxa"/>
            <w:vMerge w:val="continue"/>
          </w:tcPr>
          <w:p>
            <w:pPr>
              <w:jc w:val="left"/>
              <w:rPr>
                <w:rFonts w:ascii="楷体_GB2312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1227" w:type="dxa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课程目标2</w:t>
            </w:r>
          </w:p>
        </w:tc>
        <w:tc>
          <w:tcPr>
            <w:tcW w:w="3251" w:type="dxa"/>
            <w:vAlign w:val="center"/>
          </w:tcPr>
          <w:p>
            <w:pPr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1</w:t>
            </w:r>
            <w:r>
              <w:rPr>
                <w:rFonts w:ascii="楷体_GB2312" w:eastAsia="楷体_GB2312"/>
                <w:szCs w:val="21"/>
              </w:rPr>
              <w:t>.</w:t>
            </w:r>
            <w:r>
              <w:rPr>
                <w:rFonts w:hint="eastAsia" w:ascii="楷体_GB2312" w:eastAsia="楷体_GB2312"/>
                <w:szCs w:val="21"/>
              </w:rPr>
              <w:t>绪论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第一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10</w:t>
            </w:r>
            <w:r>
              <w:rPr>
                <w:rFonts w:hint="eastAsia" w:ascii="楷体_GB2312" w:eastAsia="楷体_GB2312"/>
                <w:szCs w:val="21"/>
              </w:rPr>
              <w:t>%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平时考核和期末考核相结合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jc w:val="center"/>
        </w:trPr>
        <w:tc>
          <w:tcPr>
            <w:tcW w:w="1227" w:type="dxa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课程目标3</w:t>
            </w:r>
          </w:p>
        </w:tc>
        <w:tc>
          <w:tcPr>
            <w:tcW w:w="3251" w:type="dxa"/>
            <w:vAlign w:val="center"/>
          </w:tcPr>
          <w:p>
            <w:pPr>
              <w:numPr>
                <w:ilvl w:val="0"/>
                <w:numId w:val="3"/>
              </w:numPr>
              <w:jc w:val="left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微生物生态学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微生物与环境污染控制与治理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应用微生物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第七</w:t>
            </w:r>
          </w:p>
          <w:p>
            <w:pPr>
              <w:jc w:val="center"/>
              <w:rPr>
                <w:rFonts w:hint="eastAsia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</w:rPr>
              <w:t>第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>八</w:t>
            </w:r>
          </w:p>
          <w:p>
            <w:pPr>
              <w:jc w:val="center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第九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25</w:t>
            </w:r>
            <w:r>
              <w:rPr>
                <w:rFonts w:hint="eastAsia" w:ascii="楷体_GB2312" w:eastAsia="楷体_GB2312"/>
                <w:szCs w:val="21"/>
              </w:rPr>
              <w:t>%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平时考核和期末考核相结合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7" w:type="dxa"/>
            <w:gridSpan w:val="3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合计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100</w:t>
            </w:r>
            <w:r>
              <w:rPr>
                <w:rFonts w:ascii="楷体_GB2312" w:eastAsia="楷体_GB2312"/>
                <w:szCs w:val="21"/>
              </w:rPr>
              <w:t>%</w:t>
            </w:r>
          </w:p>
        </w:tc>
        <w:tc>
          <w:tcPr>
            <w:tcW w:w="1702" w:type="dxa"/>
            <w:gridSpan w:val="2"/>
            <w:vAlign w:val="center"/>
          </w:tcPr>
          <w:p>
            <w:pPr>
              <w:jc w:val="left"/>
              <w:rPr>
                <w:rFonts w:ascii="楷体_GB2312" w:eastAsia="楷体_GB2312"/>
                <w:szCs w:val="21"/>
              </w:rPr>
            </w:pPr>
          </w:p>
        </w:tc>
      </w:tr>
    </w:tbl>
    <w:p>
      <w:pPr>
        <w:spacing w:line="360" w:lineRule="auto"/>
        <w:ind w:firstLine="525" w:firstLineChars="250"/>
        <w:rPr>
          <w:rFonts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要求：1.考核内容要反映主要的课程目标；考核方式要适合课程性质；考核评价依据要科学合理；2.专业</w:t>
      </w:r>
      <w:r>
        <w:rPr>
          <w:rFonts w:ascii="楷体_GB2312" w:eastAsia="楷体_GB2312"/>
          <w:szCs w:val="21"/>
        </w:rPr>
        <w:t>核心课程考核内容要适度</w:t>
      </w:r>
      <w:r>
        <w:rPr>
          <w:rFonts w:hint="eastAsia" w:ascii="楷体_GB2312" w:eastAsia="楷体_GB2312"/>
          <w:szCs w:val="21"/>
        </w:rPr>
        <w:t>拓展</w:t>
      </w:r>
      <w:r>
        <w:rPr>
          <w:rFonts w:ascii="楷体_GB2312" w:eastAsia="楷体_GB2312"/>
          <w:szCs w:val="21"/>
        </w:rPr>
        <w:t>到</w:t>
      </w:r>
      <w:r>
        <w:rPr>
          <w:rFonts w:hint="eastAsia" w:ascii="楷体_GB2312" w:eastAsia="楷体_GB2312"/>
          <w:szCs w:val="21"/>
        </w:rPr>
        <w:t>推荐</w:t>
      </w:r>
      <w:r>
        <w:rPr>
          <w:rFonts w:ascii="楷体_GB2312" w:eastAsia="楷体_GB2312"/>
          <w:szCs w:val="21"/>
        </w:rPr>
        <w:t>的课程资源中</w:t>
      </w:r>
      <w:r>
        <w:rPr>
          <w:rFonts w:hint="eastAsia" w:ascii="楷体_GB2312" w:eastAsia="楷体_GB2312"/>
          <w:szCs w:val="21"/>
        </w:rPr>
        <w:t>。</w:t>
      </w:r>
    </w:p>
    <w:p>
      <w:pPr>
        <w:spacing w:line="360" w:lineRule="auto"/>
        <w:ind w:firstLine="361" w:firstLineChars="150"/>
        <w:rPr>
          <w:rFonts w:ascii="宋体" w:hAnsi="宋体"/>
          <w:b/>
          <w:color w:val="000000"/>
          <w:sz w:val="24"/>
        </w:rPr>
      </w:pPr>
    </w:p>
    <w:p>
      <w:pPr>
        <w:spacing w:line="360" w:lineRule="auto"/>
        <w:ind w:firstLine="598" w:firstLineChars="248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六、成绩评定</w:t>
      </w:r>
    </w:p>
    <w:p>
      <w:pPr>
        <w:spacing w:line="360" w:lineRule="auto"/>
        <w:ind w:firstLine="602" w:firstLineChars="250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/>
          <w:b/>
          <w:bCs/>
          <w:sz w:val="24"/>
        </w:rPr>
        <w:t>1.</w:t>
      </w:r>
      <w:r>
        <w:rPr>
          <w:rFonts w:hint="eastAsia" w:ascii="楷体_GB2312" w:eastAsia="楷体_GB2312"/>
          <w:b/>
          <w:bCs/>
          <w:sz w:val="24"/>
        </w:rPr>
        <w:t>评定方式</w:t>
      </w:r>
    </w:p>
    <w:p>
      <w:pPr>
        <w:spacing w:line="360" w:lineRule="auto"/>
        <w:ind w:firstLine="600" w:firstLineChars="25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总成绩</w:t>
      </w:r>
      <w:r>
        <w:rPr>
          <w:rFonts w:ascii="楷体_GB2312" w:eastAsia="楷体_GB2312"/>
          <w:sz w:val="24"/>
        </w:rPr>
        <w:t>=</w:t>
      </w:r>
      <w:r>
        <w:rPr>
          <w:rFonts w:hint="eastAsia" w:ascii="楷体_GB2312" w:eastAsia="楷体_GB2312"/>
          <w:sz w:val="24"/>
        </w:rPr>
        <w:t>平时</w:t>
      </w:r>
      <w:r>
        <w:rPr>
          <w:rFonts w:ascii="楷体_GB2312" w:eastAsia="楷体_GB2312"/>
          <w:sz w:val="24"/>
        </w:rPr>
        <w:t>成绩</w:t>
      </w:r>
      <w:r>
        <w:rPr>
          <w:rFonts w:hint="eastAsia" w:ascii="楷体_GB2312" w:eastAsia="楷体_GB2312"/>
          <w:sz w:val="24"/>
        </w:rPr>
        <w:t>×</w:t>
      </w:r>
      <w:r>
        <w:rPr>
          <w:rFonts w:ascii="楷体_GB2312" w:eastAsia="楷体_GB2312"/>
          <w:sz w:val="24"/>
        </w:rPr>
        <w:t>40%+</w:t>
      </w:r>
      <w:r>
        <w:rPr>
          <w:rFonts w:hint="eastAsia" w:ascii="楷体_GB2312" w:eastAsia="楷体_GB2312"/>
          <w:sz w:val="24"/>
        </w:rPr>
        <w:t>期末</w:t>
      </w:r>
      <w:r>
        <w:rPr>
          <w:rFonts w:ascii="楷体_GB2312" w:eastAsia="楷体_GB2312"/>
          <w:sz w:val="24"/>
        </w:rPr>
        <w:t>成绩</w:t>
      </w:r>
      <w:r>
        <w:rPr>
          <w:rFonts w:hint="eastAsia" w:ascii="楷体_GB2312" w:eastAsia="楷体_GB2312"/>
          <w:sz w:val="24"/>
        </w:rPr>
        <w:t>×</w:t>
      </w:r>
      <w:r>
        <w:rPr>
          <w:rFonts w:ascii="楷体_GB2312" w:eastAsia="楷体_GB2312"/>
          <w:sz w:val="24"/>
        </w:rPr>
        <w:t>60%</w:t>
      </w:r>
    </w:p>
    <w:p>
      <w:pPr>
        <w:spacing w:line="360" w:lineRule="auto"/>
        <w:ind w:firstLine="600" w:firstLineChars="25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一般理论课平时成绩所占比例为40%，期末成绩所占比例为60%。实验课、课程改革课各不相同，具体见《凯里学院课程过程性考核管理办法》（院通字〔2021〕61号）、《凯里学院课程考核管理办法》（院通字〔2021〕60号）等文件。</w:t>
      </w:r>
    </w:p>
    <w:p>
      <w:pPr>
        <w:spacing w:line="360" w:lineRule="auto"/>
        <w:ind w:firstLine="602" w:firstLineChars="250"/>
        <w:rPr>
          <w:rFonts w:ascii="楷体_GB2312" w:eastAsia="楷体_GB2312"/>
          <w:color w:val="FF0000"/>
          <w:sz w:val="24"/>
        </w:rPr>
      </w:pPr>
      <w:r>
        <w:rPr>
          <w:rFonts w:hint="eastAsia" w:ascii="楷体_GB2312" w:eastAsia="楷体_GB2312"/>
          <w:b/>
          <w:bCs/>
          <w:sz w:val="24"/>
        </w:rPr>
        <w:t>2.平时成绩评定及标准：</w:t>
      </w:r>
    </w:p>
    <w:p>
      <w:pPr>
        <w:spacing w:line="360" w:lineRule="auto"/>
        <w:ind w:firstLine="480" w:firstLineChars="20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成绩构成的书写格式：平时成绩（1</w:t>
      </w:r>
      <w:r>
        <w:rPr>
          <w:rFonts w:ascii="楷体_GB2312" w:eastAsia="楷体_GB2312"/>
          <w:sz w:val="24"/>
        </w:rPr>
        <w:t>00</w:t>
      </w:r>
      <w:r>
        <w:rPr>
          <w:rFonts w:hint="eastAsia" w:ascii="楷体_GB2312" w:eastAsia="楷体_GB2312"/>
          <w:sz w:val="24"/>
        </w:rPr>
        <w:t>%）=课堂表现（</w:t>
      </w:r>
      <w:r>
        <w:rPr>
          <w:rFonts w:hint="eastAsia" w:ascii="楷体_GB2312" w:eastAsia="楷体_GB2312"/>
          <w:sz w:val="24"/>
          <w:lang w:val="en-US" w:eastAsia="zh-CN"/>
        </w:rPr>
        <w:t>15</w:t>
      </w:r>
      <w:r>
        <w:rPr>
          <w:rFonts w:hint="eastAsia" w:ascii="楷体_GB2312" w:eastAsia="楷体_GB2312"/>
          <w:sz w:val="24"/>
        </w:rPr>
        <w:t>%）+作业完成情况B（</w:t>
      </w:r>
      <w:r>
        <w:rPr>
          <w:rFonts w:hint="eastAsia" w:ascii="楷体_GB2312" w:eastAsia="楷体_GB2312"/>
          <w:sz w:val="24"/>
          <w:lang w:val="en-US" w:eastAsia="zh-CN"/>
        </w:rPr>
        <w:t>35</w:t>
      </w:r>
      <w:r>
        <w:rPr>
          <w:rFonts w:hint="eastAsia" w:ascii="楷体_GB2312" w:eastAsia="楷体_GB2312"/>
          <w:sz w:val="24"/>
        </w:rPr>
        <w:t>%）+阶段性测验（</w:t>
      </w:r>
      <w:r>
        <w:rPr>
          <w:rFonts w:hint="eastAsia" w:ascii="楷体_GB2312" w:eastAsia="楷体_GB2312"/>
          <w:sz w:val="24"/>
          <w:lang w:val="en-US" w:eastAsia="zh-CN"/>
        </w:rPr>
        <w:t>5</w:t>
      </w:r>
      <w:r>
        <w:rPr>
          <w:rFonts w:ascii="楷体_GB2312" w:eastAsia="楷体_GB2312"/>
          <w:sz w:val="24"/>
        </w:rPr>
        <w:t>0</w:t>
      </w:r>
      <w:r>
        <w:rPr>
          <w:rFonts w:hint="eastAsia" w:ascii="楷体_GB2312" w:eastAsia="楷体_GB2312"/>
          <w:sz w:val="24"/>
        </w:rPr>
        <w:t>%）</w:t>
      </w:r>
    </w:p>
    <w:p>
      <w:pPr>
        <w:spacing w:line="360" w:lineRule="auto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（1）课堂表现：通过学生在课堂上的表现情况、发言与提问情况，来评价学生相关的能力。</w:t>
      </w:r>
    </w:p>
    <w:p>
      <w:pPr>
        <w:spacing w:line="360" w:lineRule="auto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（2）作业完成情况：围绕课程的学习目标进行作业的设计。如让学生简述对知识的认识，考核学生对概念的理解情况，帮助学生将定义转化为自己的理解。</w:t>
      </w:r>
    </w:p>
    <w:p>
      <w:pPr>
        <w:spacing w:line="360" w:lineRule="auto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（3）阶段性测验：学生在平时测试、测验中掌握课程的情况。</w:t>
      </w:r>
    </w:p>
    <w:p>
      <w:pPr>
        <w:spacing w:line="360" w:lineRule="auto"/>
        <w:ind w:firstLine="602" w:firstLineChars="250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/>
          <w:b/>
          <w:bCs/>
          <w:sz w:val="24"/>
        </w:rPr>
        <w:t>3.</w:t>
      </w:r>
      <w:r>
        <w:rPr>
          <w:rFonts w:hint="eastAsia" w:ascii="楷体_GB2312" w:eastAsia="楷体_GB2312"/>
          <w:b/>
          <w:bCs/>
          <w:sz w:val="24"/>
        </w:rPr>
        <w:t>期末</w:t>
      </w:r>
      <w:r>
        <w:rPr>
          <w:rFonts w:ascii="楷体_GB2312" w:eastAsia="楷体_GB2312"/>
          <w:b/>
          <w:bCs/>
          <w:sz w:val="24"/>
        </w:rPr>
        <w:t>成绩评定</w:t>
      </w:r>
    </w:p>
    <w:p>
      <w:pPr>
        <w:spacing w:line="360" w:lineRule="auto"/>
        <w:ind w:firstLine="600" w:firstLineChars="25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期末考核主要考察学生对基本概念、操作程序和具体方法的理解与运用等。</w:t>
      </w:r>
      <w:r>
        <w:rPr>
          <w:rFonts w:ascii="楷体_GB2312" w:eastAsia="楷体_GB2312"/>
          <w:sz w:val="24"/>
        </w:rPr>
        <w:t>方式为闭卷考试</w:t>
      </w:r>
      <w:r>
        <w:rPr>
          <w:rFonts w:hint="eastAsia" w:ascii="楷体_GB2312" w:eastAsia="楷体_GB2312"/>
          <w:sz w:val="24"/>
        </w:rPr>
        <w:t>或开卷</w:t>
      </w:r>
      <w:r>
        <w:rPr>
          <w:rFonts w:ascii="楷体_GB2312" w:eastAsia="楷体_GB2312"/>
          <w:sz w:val="24"/>
        </w:rPr>
        <w:t>考试</w:t>
      </w:r>
      <w:r>
        <w:rPr>
          <w:rFonts w:hint="eastAsia" w:ascii="楷体_GB2312" w:eastAsia="楷体_GB2312"/>
          <w:sz w:val="24"/>
        </w:rPr>
        <w:t>、考查等不同的方式</w:t>
      </w:r>
      <w:r>
        <w:rPr>
          <w:rFonts w:ascii="楷体_GB2312" w:eastAsia="楷体_GB2312"/>
          <w:sz w:val="24"/>
        </w:rPr>
        <w:t>。要求学生掌握基本概念</w:t>
      </w:r>
      <w:r>
        <w:rPr>
          <w:rFonts w:hint="eastAsia" w:ascii="楷体_GB2312" w:eastAsia="楷体_GB2312"/>
          <w:sz w:val="24"/>
        </w:rPr>
        <w:t>、</w:t>
      </w:r>
      <w:r>
        <w:rPr>
          <w:rFonts w:ascii="楷体_GB2312" w:eastAsia="楷体_GB2312"/>
          <w:sz w:val="24"/>
        </w:rPr>
        <w:t>操作程序，运用具体方法解决相关问题</w:t>
      </w:r>
      <w:r>
        <w:rPr>
          <w:rFonts w:hint="eastAsia" w:ascii="楷体_GB2312" w:eastAsia="楷体_GB2312"/>
          <w:sz w:val="24"/>
        </w:rPr>
        <w:t>。</w:t>
      </w:r>
    </w:p>
    <w:p>
      <w:pPr>
        <w:widowControl/>
        <w:ind w:firstLine="482" w:firstLineChars="200"/>
        <w:jc w:val="left"/>
        <w:rPr>
          <w:rFonts w:hint="eastAsia" w:ascii="楷体_GB2312" w:eastAsia="楷体_GB2312"/>
          <w:b/>
          <w:bCs/>
          <w:sz w:val="24"/>
        </w:rPr>
      </w:pPr>
    </w:p>
    <w:p>
      <w:pPr>
        <w:widowControl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  <w:lang w:bidi="ar"/>
        </w:rPr>
      </w:pPr>
      <w:r>
        <w:rPr>
          <w:rFonts w:hint="eastAsia" w:ascii="楷体_GB2312" w:eastAsia="楷体_GB2312"/>
          <w:b/>
          <w:bCs/>
          <w:sz w:val="24"/>
        </w:rPr>
        <w:t>4</w:t>
      </w:r>
      <w:r>
        <w:rPr>
          <w:rFonts w:ascii="楷体_GB2312" w:eastAsia="楷体_GB2312"/>
          <w:b/>
          <w:bCs/>
          <w:sz w:val="24"/>
        </w:rPr>
        <w:t>.</w:t>
      </w:r>
      <w:r>
        <w:rPr>
          <w:rFonts w:hint="eastAsia" w:ascii="楷体_GB2312" w:eastAsia="楷体_GB2312"/>
          <w:b/>
          <w:bCs/>
          <w:sz w:val="24"/>
        </w:rPr>
        <w:t>教学目标达成度的评价依据及方法</w:t>
      </w:r>
    </w:p>
    <w:p>
      <w:pPr>
        <w:spacing w:line="360" w:lineRule="auto"/>
        <w:ind w:firstLine="480" w:firstLineChars="20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表</w:t>
      </w:r>
      <w:r>
        <w:rPr>
          <w:rFonts w:ascii="楷体_GB2312" w:eastAsia="楷体_GB2312"/>
          <w:sz w:val="24"/>
        </w:rPr>
        <w:t>中权重合理性说明:</w:t>
      </w:r>
    </w:p>
    <w:p>
      <w:pPr>
        <w:spacing w:line="360" w:lineRule="auto"/>
        <w:rPr>
          <w:rFonts w:ascii="楷体_GB2312" w:eastAsia="楷体_GB2312"/>
          <w:sz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 xml:space="preserve">   </w:t>
      </w:r>
      <w:r>
        <w:rPr>
          <w:rFonts w:hint="eastAsia" w:ascii="楷体_GB2312" w:eastAsia="楷体_GB2312"/>
          <w:color w:val="FF0000"/>
          <w:sz w:val="24"/>
        </w:rPr>
        <w:t xml:space="preserve"> </w:t>
      </w:r>
      <w:r>
        <w:rPr>
          <w:rFonts w:hint="eastAsia" w:ascii="楷体_GB2312" w:eastAsia="楷体_GB2312"/>
          <w:sz w:val="24"/>
        </w:rPr>
        <w:t>对于教学目标1：主要评价学生对掌握</w:t>
      </w:r>
      <w:r>
        <w:rPr>
          <w:rFonts w:hint="eastAsia" w:ascii="楷体_GB2312" w:eastAsia="楷体_GB2312"/>
          <w:sz w:val="24"/>
          <w:lang w:val="en-US" w:eastAsia="zh-CN"/>
        </w:rPr>
        <w:t>微生物</w:t>
      </w:r>
      <w:r>
        <w:rPr>
          <w:rFonts w:hint="eastAsia" w:ascii="楷体_GB2312" w:eastAsia="楷体_GB2312"/>
          <w:sz w:val="24"/>
        </w:rPr>
        <w:t>生物学的</w:t>
      </w:r>
      <w:r>
        <w:rPr>
          <w:rFonts w:hint="eastAsia" w:ascii="楷体_GB2312" w:eastAsia="楷体_GB2312"/>
          <w:sz w:val="24"/>
          <w:lang w:val="en-US" w:eastAsia="zh-CN"/>
        </w:rPr>
        <w:t>基础知识、基本理论，理解生物学科核心素养的内涵</w:t>
      </w:r>
      <w:r>
        <w:rPr>
          <w:rFonts w:hint="eastAsia" w:ascii="楷体_GB2312" w:eastAsia="楷体_GB2312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对于教学目标2：主要评价学生对</w:t>
      </w:r>
      <w:r>
        <w:rPr>
          <w:rFonts w:hint="eastAsia" w:ascii="楷体_GB2312" w:eastAsia="楷体_GB2312"/>
          <w:sz w:val="24"/>
          <w:lang w:val="en-US" w:eastAsia="zh-CN"/>
        </w:rPr>
        <w:t>掌握运用生命观念、理性思维和科学方法帮助学生形成生物核心素养的策略与方法，将教学和日常生活相结合，促进学生解决现实生活中的生物学问题</w:t>
      </w:r>
      <w:r>
        <w:rPr>
          <w:rFonts w:hint="eastAsia" w:ascii="楷体_GB2312" w:eastAsia="楷体_GB2312"/>
          <w:sz w:val="24"/>
        </w:rPr>
        <w:t>。</w:t>
      </w:r>
    </w:p>
    <w:p>
      <w:pPr>
        <w:spacing w:line="360" w:lineRule="auto"/>
        <w:ind w:firstLine="480" w:firstLineChars="20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对于教学目标</w:t>
      </w:r>
      <w:r>
        <w:rPr>
          <w:rFonts w:ascii="楷体_GB2312" w:eastAsia="楷体_GB2312"/>
          <w:sz w:val="24"/>
        </w:rPr>
        <w:t>3</w:t>
      </w:r>
      <w:r>
        <w:rPr>
          <w:rFonts w:hint="eastAsia" w:ascii="楷体_GB2312" w:eastAsia="楷体_GB2312"/>
          <w:sz w:val="24"/>
        </w:rPr>
        <w:t>：主要评</w:t>
      </w:r>
      <w:r>
        <w:rPr>
          <w:rFonts w:hint="eastAsia" w:ascii="楷体_GB2312" w:eastAsia="楷体_GB2312"/>
          <w:sz w:val="24"/>
          <w:lang w:val="en-US" w:eastAsia="zh-CN"/>
        </w:rPr>
        <w:t>价学生学会团队协作、学习共同体、理解教育教学共同体在教育教学、促进中学生自主成长和教师专业发展中的作用，能组织和参与团队活动，积极地与老师、同学研讨交流与合作，获得小组互助合作学习的实践体验。</w:t>
      </w:r>
    </w:p>
    <w:tbl>
      <w:tblPr>
        <w:tblStyle w:val="8"/>
        <w:tblpPr w:leftFromText="180" w:rightFromText="180" w:vertAnchor="text" w:horzAnchor="page" w:tblpX="1966" w:tblpY="100"/>
        <w:tblOverlap w:val="never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5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84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教学目标</w:t>
            </w:r>
          </w:p>
        </w:tc>
        <w:tc>
          <w:tcPr>
            <w:tcW w:w="155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评价依据</w:t>
            </w:r>
          </w:p>
        </w:tc>
        <w:tc>
          <w:tcPr>
            <w:tcW w:w="5566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评价方法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384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教学目标1</w:t>
            </w:r>
          </w:p>
        </w:tc>
        <w:tc>
          <w:tcPr>
            <w:tcW w:w="155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期末成绩，平时成绩.</w:t>
            </w:r>
          </w:p>
        </w:tc>
        <w:tc>
          <w:tcPr>
            <w:tcW w:w="5566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评价值=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>6</w:t>
            </w:r>
            <w:r>
              <w:rPr>
                <w:rFonts w:hint="eastAsia" w:ascii="楷体_GB2312" w:eastAsia="楷体_GB2312"/>
                <w:szCs w:val="21"/>
              </w:rPr>
              <w:t>0%x(期末卷面对应试题平均分/期末卷面对应试题总分)+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>4</w:t>
            </w:r>
            <w:r>
              <w:rPr>
                <w:rFonts w:hint="eastAsia" w:ascii="楷体_GB2312" w:eastAsia="楷体_GB2312"/>
                <w:szCs w:val="21"/>
              </w:rPr>
              <w:t>0%X(对应平时成绩平均分/对应平时成绩总分)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教学目标2</w:t>
            </w:r>
          </w:p>
        </w:tc>
        <w:tc>
          <w:tcPr>
            <w:tcW w:w="155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期末成绩，平时成绩.</w:t>
            </w:r>
          </w:p>
        </w:tc>
        <w:tc>
          <w:tcPr>
            <w:tcW w:w="5566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评价值=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>6</w:t>
            </w:r>
            <w:r>
              <w:rPr>
                <w:rFonts w:hint="eastAsia" w:ascii="楷体_GB2312" w:eastAsia="楷体_GB2312"/>
                <w:szCs w:val="21"/>
              </w:rPr>
              <w:t>0%x(期末卷面对应试题平均分/期末卷面对应试题总分)+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>4</w:t>
            </w:r>
            <w:r>
              <w:rPr>
                <w:rFonts w:hint="eastAsia" w:ascii="楷体_GB2312" w:eastAsia="楷体_GB2312"/>
                <w:szCs w:val="21"/>
              </w:rPr>
              <w:t>0%X(对应平时成绩平均分/对应平时成绩总分)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84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教学目标3</w:t>
            </w:r>
          </w:p>
        </w:tc>
        <w:tc>
          <w:tcPr>
            <w:tcW w:w="155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期末成绩，平时成绩.</w:t>
            </w:r>
          </w:p>
        </w:tc>
        <w:tc>
          <w:tcPr>
            <w:tcW w:w="5566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评价值=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>6</w:t>
            </w:r>
            <w:r>
              <w:rPr>
                <w:rFonts w:hint="eastAsia" w:ascii="楷体_GB2312" w:eastAsia="楷体_GB2312"/>
                <w:szCs w:val="21"/>
              </w:rPr>
              <w:t>0%X(期末卷面对应试题平均分/期末卷面对应试题总分)+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>4</w:t>
            </w:r>
            <w:r>
              <w:rPr>
                <w:rFonts w:hint="eastAsia" w:ascii="楷体_GB2312" w:eastAsia="楷体_GB2312"/>
                <w:szCs w:val="21"/>
              </w:rPr>
              <w:t>0%X(对应平时成绩平均分/对应平时成绩总分</w:t>
            </w:r>
          </w:p>
        </w:tc>
      </w:tr>
    </w:tbl>
    <w:p>
      <w:pPr>
        <w:widowControl/>
        <w:ind w:firstLine="4560" w:firstLineChars="1900"/>
        <w:jc w:val="left"/>
        <w:rPr>
          <w:rFonts w:ascii="宋体" w:hAnsi="宋体" w:eastAsia="宋体" w:cs="宋体"/>
          <w:kern w:val="0"/>
          <w:sz w:val="24"/>
          <w:szCs w:val="24"/>
          <w:lang w:bidi="ar"/>
        </w:rPr>
      </w:pPr>
    </w:p>
    <w:p>
      <w:pPr>
        <w:widowControl/>
        <w:ind w:firstLine="4560" w:firstLineChars="1900"/>
        <w:jc w:val="left"/>
        <w:rPr>
          <w:rFonts w:ascii="宋体" w:hAnsi="宋体" w:eastAsia="宋体" w:cs="宋体"/>
          <w:kern w:val="0"/>
          <w:sz w:val="24"/>
          <w:szCs w:val="24"/>
          <w:lang w:bidi="ar"/>
        </w:rPr>
      </w:pPr>
    </w:p>
    <w:p>
      <w:pPr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hint="eastAsia" w:ascii="楷体_GB2312" w:eastAsia="楷体_GB2312"/>
          <w:b/>
          <w:bCs/>
          <w:sz w:val="24"/>
        </w:rPr>
        <w:t>5.</w:t>
      </w:r>
      <w:r>
        <w:rPr>
          <w:rFonts w:ascii="楷体_GB2312" w:eastAsia="楷体_GB2312"/>
          <w:b/>
          <w:bCs/>
          <w:sz w:val="24"/>
        </w:rPr>
        <w:t>各类考核评分标准表</w:t>
      </w:r>
    </w:p>
    <w:tbl>
      <w:tblPr>
        <w:tblStyle w:val="7"/>
        <w:tblpPr w:leftFromText="180" w:rightFromText="180" w:vertAnchor="text" w:horzAnchor="page" w:tblpX="1971" w:tblpY="746"/>
        <w:tblOverlap w:val="never"/>
        <w:tblW w:w="833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440"/>
        <w:gridCol w:w="1417"/>
        <w:gridCol w:w="1559"/>
        <w:gridCol w:w="1701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课程目标</w:t>
            </w:r>
          </w:p>
        </w:tc>
        <w:tc>
          <w:tcPr>
            <w:tcW w:w="7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ind w:firstLine="420" w:firstLineChars="200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评分标准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90-100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80-89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70-79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60-69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0-59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优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良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中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及格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不及格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课程目标1</w:t>
            </w:r>
            <w:r>
              <w:rPr>
                <w:rFonts w:ascii="楷体_GB2312" w:eastAsia="楷体_GB2312"/>
                <w:szCs w:val="21"/>
              </w:rPr>
              <w:t>、2、3</w:t>
            </w:r>
          </w:p>
          <w:p>
            <w:pPr>
              <w:kinsoku w:val="0"/>
              <w:overflowPunct w:val="0"/>
              <w:autoSpaceDE w:val="0"/>
              <w:autoSpaceDN w:val="0"/>
              <w:spacing w:line="300" w:lineRule="exact"/>
              <w:ind w:firstLine="420" w:firstLineChars="200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 xml:space="preserve">  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按时上课，认真听课，积极互动，积极讨论，出勤率全到。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按时上课，课堂听课、互动积极性较高，出勤率高，偶尔有迟到或事假。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按时上课，课堂听课、互动积极性一般，有迟到或早退现象，并有事假、病假等请假现象。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课堂听课、互动积极性差，经常有迟到或早退想象，事假、病假等请假现象较。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按时上课，认真听课，积极互动，积极讨论，出勤率全到。</w:t>
            </w:r>
          </w:p>
        </w:tc>
      </w:tr>
    </w:tbl>
    <w:p>
      <w:pPr>
        <w:spacing w:line="360" w:lineRule="auto"/>
        <w:jc w:val="center"/>
        <w:rPr>
          <w:rFonts w:ascii="楷体_GB2312" w:eastAsia="楷体_GB2312"/>
          <w:bCs/>
          <w:sz w:val="24"/>
          <w:szCs w:val="24"/>
        </w:rPr>
      </w:pPr>
      <w:r>
        <w:rPr>
          <w:rFonts w:hint="eastAsia" w:ascii="楷体_GB2312" w:eastAsia="楷体_GB2312"/>
          <w:bCs/>
          <w:sz w:val="24"/>
          <w:szCs w:val="24"/>
        </w:rPr>
        <w:t>表</w:t>
      </w:r>
      <w:r>
        <w:rPr>
          <w:rFonts w:ascii="楷体_GB2312" w:eastAsia="楷体_GB2312"/>
          <w:bCs/>
          <w:sz w:val="24"/>
          <w:szCs w:val="24"/>
        </w:rPr>
        <w:t xml:space="preserve">1 </w:t>
      </w:r>
      <w:r>
        <w:rPr>
          <w:rFonts w:hint="eastAsia" w:ascii="楷体_GB2312" w:eastAsia="楷体_GB2312"/>
          <w:bCs/>
          <w:sz w:val="24"/>
          <w:szCs w:val="24"/>
        </w:rPr>
        <w:t>课堂参与评价标准</w:t>
      </w:r>
    </w:p>
    <w:p>
      <w:pPr>
        <w:spacing w:line="360" w:lineRule="auto"/>
        <w:jc w:val="center"/>
        <w:rPr>
          <w:rFonts w:ascii="楷体_GB2312" w:eastAsia="楷体_GB2312"/>
          <w:bCs/>
          <w:sz w:val="24"/>
          <w:szCs w:val="24"/>
        </w:rPr>
      </w:pPr>
    </w:p>
    <w:p>
      <w:pPr>
        <w:spacing w:line="360" w:lineRule="auto"/>
        <w:jc w:val="center"/>
        <w:rPr>
          <w:rFonts w:ascii="楷体_GB2312" w:eastAsia="楷体_GB2312"/>
          <w:bCs/>
          <w:sz w:val="24"/>
          <w:szCs w:val="24"/>
        </w:rPr>
      </w:pPr>
      <w:r>
        <w:rPr>
          <w:rFonts w:hint="eastAsia" w:ascii="楷体_GB2312" w:eastAsia="楷体_GB2312"/>
          <w:bCs/>
          <w:sz w:val="24"/>
          <w:szCs w:val="24"/>
        </w:rPr>
        <w:t>表</w:t>
      </w:r>
      <w:r>
        <w:rPr>
          <w:rFonts w:ascii="楷体_GB2312" w:eastAsia="楷体_GB2312"/>
          <w:bCs/>
          <w:sz w:val="24"/>
          <w:szCs w:val="24"/>
        </w:rPr>
        <w:t xml:space="preserve">2 </w:t>
      </w:r>
      <w:r>
        <w:rPr>
          <w:rFonts w:hint="eastAsia" w:ascii="楷体_GB2312" w:eastAsia="楷体_GB2312"/>
          <w:bCs/>
          <w:sz w:val="24"/>
          <w:szCs w:val="24"/>
        </w:rPr>
        <w:t>课堂讨论、课件分析评分标准</w:t>
      </w:r>
    </w:p>
    <w:tbl>
      <w:tblPr>
        <w:tblStyle w:val="7"/>
        <w:tblpPr w:leftFromText="180" w:rightFromText="180" w:vertAnchor="text" w:horzAnchor="page" w:tblpX="1906" w:tblpY="551"/>
        <w:tblOverlap w:val="never"/>
        <w:tblW w:w="82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79"/>
        <w:gridCol w:w="1507"/>
        <w:gridCol w:w="1538"/>
        <w:gridCol w:w="1627"/>
        <w:gridCol w:w="1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" w:type="dxa"/>
            <w:vMerge w:val="restart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课程目标</w:t>
            </w:r>
          </w:p>
        </w:tc>
        <w:tc>
          <w:tcPr>
            <w:tcW w:w="1179" w:type="dxa"/>
            <w:vMerge w:val="restart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类别</w:t>
            </w:r>
          </w:p>
        </w:tc>
        <w:tc>
          <w:tcPr>
            <w:tcW w:w="1507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/>
                <w:szCs w:val="21"/>
              </w:rPr>
              <w:t>90-100</w:t>
            </w:r>
          </w:p>
        </w:tc>
        <w:tc>
          <w:tcPr>
            <w:tcW w:w="1538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/>
                <w:szCs w:val="21"/>
              </w:rPr>
              <w:t>75-89</w:t>
            </w:r>
          </w:p>
        </w:tc>
        <w:tc>
          <w:tcPr>
            <w:tcW w:w="1627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/>
                <w:szCs w:val="21"/>
              </w:rPr>
              <w:t>60-74</w:t>
            </w:r>
          </w:p>
        </w:tc>
        <w:tc>
          <w:tcPr>
            <w:tcW w:w="1343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/>
                <w:szCs w:val="21"/>
              </w:rPr>
              <w:t>0-59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" w:type="dxa"/>
            <w:vMerge w:val="continue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79" w:type="dxa"/>
            <w:vMerge w:val="continue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优秀</w:t>
            </w:r>
          </w:p>
        </w:tc>
        <w:tc>
          <w:tcPr>
            <w:tcW w:w="1538" w:type="dxa"/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良好</w:t>
            </w:r>
          </w:p>
        </w:tc>
        <w:tc>
          <w:tcPr>
            <w:tcW w:w="1627" w:type="dxa"/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中</w:t>
            </w:r>
            <w:r>
              <w:rPr>
                <w:rFonts w:ascii="楷体_GB2312" w:eastAsia="楷体_GB2312"/>
                <w:szCs w:val="21"/>
              </w:rPr>
              <w:t>/</w:t>
            </w:r>
            <w:r>
              <w:rPr>
                <w:rFonts w:hint="eastAsia" w:ascii="楷体_GB2312" w:eastAsia="楷体_GB2312"/>
                <w:szCs w:val="21"/>
              </w:rPr>
              <w:t>及格</w:t>
            </w:r>
          </w:p>
        </w:tc>
        <w:tc>
          <w:tcPr>
            <w:tcW w:w="1343" w:type="dxa"/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不及格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" w:type="dxa"/>
            <w:vMerge w:val="restart"/>
            <w:vAlign w:val="center"/>
          </w:tcPr>
          <w:p>
            <w:pPr>
              <w:spacing w:line="300" w:lineRule="exact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课程目标1</w:t>
            </w:r>
            <w:r>
              <w:rPr>
                <w:rFonts w:ascii="楷体_GB2312" w:eastAsia="楷体_GB2312"/>
                <w:szCs w:val="21"/>
              </w:rPr>
              <w:t>、2、3</w:t>
            </w:r>
          </w:p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79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论题</w:t>
            </w:r>
          </w:p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（</w:t>
            </w:r>
            <w:r>
              <w:rPr>
                <w:rFonts w:ascii="楷体_GB2312" w:eastAsia="楷体_GB2312"/>
                <w:szCs w:val="21"/>
              </w:rPr>
              <w:t>15</w:t>
            </w:r>
            <w:r>
              <w:rPr>
                <w:rFonts w:hint="eastAsia" w:ascii="楷体_GB2312" w:eastAsia="楷体_GB2312"/>
                <w:szCs w:val="21"/>
              </w:rPr>
              <w:t>分）</w:t>
            </w:r>
          </w:p>
        </w:tc>
        <w:tc>
          <w:tcPr>
            <w:tcW w:w="1507" w:type="dxa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富有现实意义，并与课程内容密切相关。</w:t>
            </w:r>
          </w:p>
        </w:tc>
        <w:tc>
          <w:tcPr>
            <w:tcW w:w="1538" w:type="dxa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有一定现实意义</w:t>
            </w:r>
          </w:p>
        </w:tc>
        <w:tc>
          <w:tcPr>
            <w:tcW w:w="1627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明确</w:t>
            </w:r>
          </w:p>
        </w:tc>
        <w:tc>
          <w:tcPr>
            <w:tcW w:w="1343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不当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" w:type="dxa"/>
            <w:vMerge w:val="continue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79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论点</w:t>
            </w:r>
          </w:p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（</w:t>
            </w:r>
            <w:r>
              <w:rPr>
                <w:rFonts w:ascii="楷体_GB2312" w:eastAsia="楷体_GB2312"/>
                <w:szCs w:val="21"/>
              </w:rPr>
              <w:t>25</w:t>
            </w:r>
            <w:r>
              <w:rPr>
                <w:rFonts w:hint="eastAsia" w:ascii="楷体_GB2312" w:eastAsia="楷体_GB2312"/>
                <w:szCs w:val="21"/>
              </w:rPr>
              <w:t>分）</w:t>
            </w:r>
          </w:p>
        </w:tc>
        <w:tc>
          <w:tcPr>
            <w:tcW w:w="1507" w:type="dxa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正确、有新意，有自己的见解。</w:t>
            </w:r>
          </w:p>
        </w:tc>
        <w:tc>
          <w:tcPr>
            <w:tcW w:w="1538" w:type="dxa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正确、有一定新意</w:t>
            </w:r>
          </w:p>
        </w:tc>
        <w:tc>
          <w:tcPr>
            <w:tcW w:w="1627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基本正确</w:t>
            </w:r>
          </w:p>
        </w:tc>
        <w:tc>
          <w:tcPr>
            <w:tcW w:w="1343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" w:type="dxa"/>
            <w:vMerge w:val="continue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79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论据</w:t>
            </w:r>
          </w:p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（</w:t>
            </w:r>
            <w:r>
              <w:rPr>
                <w:rFonts w:ascii="楷体_GB2312" w:eastAsia="楷体_GB2312"/>
                <w:szCs w:val="21"/>
              </w:rPr>
              <w:t>25</w:t>
            </w:r>
            <w:r>
              <w:rPr>
                <w:rFonts w:hint="eastAsia" w:ascii="楷体_GB2312" w:eastAsia="楷体_GB2312"/>
                <w:szCs w:val="21"/>
              </w:rPr>
              <w:t>分）</w:t>
            </w:r>
          </w:p>
        </w:tc>
        <w:tc>
          <w:tcPr>
            <w:tcW w:w="1507" w:type="dxa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充分、资料翔实</w:t>
            </w:r>
          </w:p>
        </w:tc>
        <w:tc>
          <w:tcPr>
            <w:tcW w:w="1538" w:type="dxa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较充分翔实</w:t>
            </w:r>
          </w:p>
        </w:tc>
        <w:tc>
          <w:tcPr>
            <w:tcW w:w="1627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较充分</w:t>
            </w:r>
          </w:p>
        </w:tc>
        <w:tc>
          <w:tcPr>
            <w:tcW w:w="1343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空泛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" w:type="dxa"/>
            <w:vMerge w:val="continue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79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论证</w:t>
            </w:r>
          </w:p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（</w:t>
            </w:r>
            <w:r>
              <w:rPr>
                <w:rFonts w:ascii="楷体_GB2312" w:eastAsia="楷体_GB2312"/>
                <w:szCs w:val="21"/>
              </w:rPr>
              <w:t>25</w:t>
            </w:r>
            <w:r>
              <w:rPr>
                <w:rFonts w:hint="eastAsia" w:ascii="楷体_GB2312" w:eastAsia="楷体_GB2312"/>
                <w:szCs w:val="21"/>
              </w:rPr>
              <w:t>分）</w:t>
            </w:r>
          </w:p>
        </w:tc>
        <w:tc>
          <w:tcPr>
            <w:tcW w:w="1507" w:type="dxa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思路清晰、周密严谨、逻辑性强、有较强说服力、引文准确恰当</w:t>
            </w:r>
          </w:p>
        </w:tc>
        <w:tc>
          <w:tcPr>
            <w:tcW w:w="1538" w:type="dxa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思路清晰、较严谨、逻符合辑性有一定说服力、引文准确</w:t>
            </w:r>
          </w:p>
        </w:tc>
        <w:tc>
          <w:tcPr>
            <w:tcW w:w="1627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思路较清晰、引文较恰当</w:t>
            </w:r>
          </w:p>
        </w:tc>
        <w:tc>
          <w:tcPr>
            <w:tcW w:w="1343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紊乱、自相矛盾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" w:type="dxa"/>
            <w:vMerge w:val="continue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79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结构</w:t>
            </w:r>
          </w:p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（</w:t>
            </w:r>
            <w:r>
              <w:rPr>
                <w:rFonts w:ascii="楷体_GB2312" w:eastAsia="楷体_GB2312"/>
                <w:szCs w:val="21"/>
              </w:rPr>
              <w:t>10</w:t>
            </w:r>
            <w:r>
              <w:rPr>
                <w:rFonts w:hint="eastAsia" w:ascii="楷体_GB2312" w:eastAsia="楷体_GB2312"/>
                <w:szCs w:val="21"/>
              </w:rPr>
              <w:t>分）</w:t>
            </w:r>
          </w:p>
        </w:tc>
        <w:tc>
          <w:tcPr>
            <w:tcW w:w="1507" w:type="dxa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合理、层次分明、条理清晰</w:t>
            </w:r>
          </w:p>
        </w:tc>
        <w:tc>
          <w:tcPr>
            <w:tcW w:w="1538" w:type="dxa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合理、层次分明</w:t>
            </w:r>
          </w:p>
        </w:tc>
        <w:tc>
          <w:tcPr>
            <w:tcW w:w="1627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较合理</w:t>
            </w:r>
          </w:p>
        </w:tc>
        <w:tc>
          <w:tcPr>
            <w:tcW w:w="1343" w:type="dxa"/>
            <w:vAlign w:val="center"/>
          </w:tcPr>
          <w:p>
            <w:pPr>
              <w:kinsoku w:val="0"/>
              <w:overflowPunct w:val="0"/>
              <w:autoSpaceDE w:val="0"/>
              <w:autoSpaceDN w:val="0"/>
              <w:spacing w:line="30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混乱</w:t>
            </w:r>
          </w:p>
        </w:tc>
      </w:tr>
    </w:tbl>
    <w:p>
      <w:pPr>
        <w:spacing w:line="360" w:lineRule="auto"/>
        <w:jc w:val="center"/>
        <w:rPr>
          <w:rFonts w:ascii="楷体_GB2312" w:eastAsia="楷体_GB2312"/>
          <w:bCs/>
          <w:sz w:val="24"/>
          <w:szCs w:val="24"/>
        </w:rPr>
      </w:pPr>
    </w:p>
    <w:p>
      <w:pPr>
        <w:spacing w:line="360" w:lineRule="auto"/>
        <w:jc w:val="center"/>
        <w:rPr>
          <w:rFonts w:hint="eastAsia" w:ascii="楷体_GB2312" w:eastAsia="楷体_GB2312"/>
          <w:bCs/>
          <w:sz w:val="24"/>
          <w:szCs w:val="24"/>
        </w:rPr>
      </w:pPr>
    </w:p>
    <w:p>
      <w:pPr>
        <w:spacing w:line="360" w:lineRule="auto"/>
        <w:jc w:val="center"/>
        <w:rPr>
          <w:rFonts w:ascii="楷体_GB2312" w:eastAsia="楷体_GB2312"/>
          <w:bCs/>
          <w:sz w:val="24"/>
          <w:szCs w:val="24"/>
        </w:rPr>
      </w:pPr>
    </w:p>
    <w:p>
      <w:pPr>
        <w:spacing w:line="360" w:lineRule="auto"/>
        <w:ind w:firstLine="420" w:firstLineChars="200"/>
        <w:rPr>
          <w:rFonts w:ascii="楷体_GB2312" w:eastAsia="楷体_GB2312"/>
          <w:bCs/>
          <w:sz w:val="24"/>
          <w:szCs w:val="24"/>
        </w:rPr>
      </w:pPr>
      <w:r>
        <w:rPr>
          <w:rFonts w:ascii="楷体_GB2312" w:eastAsia="楷体_GB2312"/>
          <w:color w:val="FF0000"/>
          <w:szCs w:val="21"/>
        </w:rPr>
        <w:t xml:space="preserve">      </w:t>
      </w:r>
      <w:r>
        <w:rPr>
          <w:rFonts w:hint="eastAsia" w:ascii="楷体_GB2312" w:eastAsia="楷体_GB2312"/>
          <w:color w:val="FF0000"/>
          <w:szCs w:val="21"/>
        </w:rPr>
        <w:t xml:space="preserve">                  </w:t>
      </w:r>
      <w:r>
        <w:rPr>
          <w:rFonts w:hint="eastAsia" w:ascii="楷体_GB2312" w:eastAsia="楷体_GB2312"/>
          <w:szCs w:val="21"/>
        </w:rPr>
        <w:t xml:space="preserve"> </w:t>
      </w:r>
      <w:r>
        <w:rPr>
          <w:rFonts w:hint="eastAsia" w:ascii="楷体_GB2312" w:eastAsia="楷体_GB2312"/>
          <w:bCs/>
          <w:sz w:val="24"/>
          <w:szCs w:val="24"/>
        </w:rPr>
        <w:t>表</w:t>
      </w:r>
      <w:r>
        <w:rPr>
          <w:rFonts w:ascii="楷体_GB2312" w:eastAsia="楷体_GB2312"/>
          <w:bCs/>
          <w:sz w:val="24"/>
          <w:szCs w:val="24"/>
        </w:rPr>
        <w:t>3</w:t>
      </w:r>
      <w:r>
        <w:rPr>
          <w:rFonts w:hint="eastAsia" w:ascii="楷体_GB2312" w:eastAsia="楷体_GB2312"/>
          <w:bCs/>
          <w:sz w:val="24"/>
          <w:szCs w:val="24"/>
        </w:rPr>
        <w:t xml:space="preserve"> 作业评分标准</w:t>
      </w:r>
    </w:p>
    <w:tbl>
      <w:tblPr>
        <w:tblStyle w:val="7"/>
        <w:tblpPr w:leftFromText="180" w:rightFromText="180" w:vertAnchor="text" w:horzAnchor="page" w:tblpX="1906" w:tblpY="131"/>
        <w:tblOverlap w:val="never"/>
        <w:tblW w:w="83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79"/>
        <w:gridCol w:w="1507"/>
        <w:gridCol w:w="1538"/>
        <w:gridCol w:w="1597"/>
        <w:gridCol w:w="13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eastAsia="楷体_GB2312"/>
                <w:szCs w:val="21"/>
                <w:lang w:eastAsia="zh-Hans"/>
              </w:rPr>
            </w:pPr>
            <w:r>
              <w:rPr>
                <w:rFonts w:hint="eastAsia" w:ascii="楷体_GB2312" w:eastAsia="楷体_GB2312"/>
                <w:szCs w:val="21"/>
                <w:lang w:eastAsia="zh-Hans"/>
              </w:rPr>
              <w:t>课程目标</w:t>
            </w:r>
          </w:p>
        </w:tc>
        <w:tc>
          <w:tcPr>
            <w:tcW w:w="72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20" w:firstLineChars="200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评分标准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20" w:firstLineChars="200"/>
              <w:rPr>
                <w:rFonts w:ascii="楷体_GB2312" w:eastAsia="楷体_GB2312"/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90-100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80-89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70-79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20" w:firstLineChars="200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60-69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20" w:firstLineChars="200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0-59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20" w:firstLineChars="200"/>
              <w:rPr>
                <w:rFonts w:ascii="楷体_GB2312" w:eastAsia="楷体_GB2312"/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优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良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中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及格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不及格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课程目标1</w:t>
            </w:r>
            <w:r>
              <w:rPr>
                <w:rFonts w:ascii="楷体_GB2312" w:eastAsia="楷体_GB2312"/>
                <w:szCs w:val="21"/>
              </w:rPr>
              <w:t>、2、3</w:t>
            </w:r>
          </w:p>
          <w:p>
            <w:pPr>
              <w:spacing w:line="360" w:lineRule="auto"/>
              <w:ind w:firstLine="420" w:firstLineChars="200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 xml:space="preserve">  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作业书写工整、回答正确、有拓展延伸。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回答正确，错误较少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基本正确，错误占比小于30%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基本正确，错误多，错误占比小于40%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回答错误较多错误占比大于40%</w:t>
            </w:r>
          </w:p>
        </w:tc>
      </w:tr>
    </w:tbl>
    <w:p>
      <w:pPr>
        <w:spacing w:line="360" w:lineRule="auto"/>
        <w:ind w:firstLine="880" w:firstLineChars="200"/>
        <w:rPr>
          <w:rFonts w:ascii="楷体_GB2312" w:eastAsia="楷体_GB2312"/>
          <w:color w:val="FF0000"/>
          <w:sz w:val="44"/>
          <w:szCs w:val="44"/>
        </w:rPr>
      </w:pPr>
      <w:r>
        <w:rPr>
          <w:rFonts w:hint="eastAsia" w:ascii="楷体_GB2312" w:eastAsia="楷体_GB2312"/>
          <w:color w:val="FF0000"/>
          <w:sz w:val="44"/>
          <w:szCs w:val="44"/>
        </w:rPr>
        <w:t xml:space="preserve">                  </w:t>
      </w:r>
    </w:p>
    <w:p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七、其它说明 </w:t>
      </w:r>
    </w:p>
    <w:p>
      <w:pPr>
        <w:spacing w:line="360" w:lineRule="auto"/>
        <w:ind w:firstLine="482" w:firstLineChars="200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（一）课程资源</w:t>
      </w:r>
      <w:r>
        <w:rPr>
          <w:rFonts w:ascii="楷体_GB2312" w:eastAsia="楷体_GB2312"/>
          <w:b/>
          <w:sz w:val="24"/>
        </w:rPr>
        <w:t>：</w:t>
      </w:r>
    </w:p>
    <w:p>
      <w:pPr>
        <w:widowControl/>
        <w:adjustRightInd w:val="0"/>
        <w:spacing w:line="560" w:lineRule="exact"/>
        <w:ind w:firstLine="480" w:firstLineChars="200"/>
        <w:jc w:val="left"/>
        <w:rPr>
          <w:rFonts w:hint="eastAsia" w:ascii="楷体_GB2312" w:eastAsia="楷体_GB2312"/>
          <w:sz w:val="24"/>
          <w:szCs w:val="24"/>
        </w:rPr>
      </w:pPr>
      <w:r>
        <w:rPr>
          <w:rFonts w:ascii="楷体_GB2312" w:eastAsia="楷体_GB2312"/>
          <w:sz w:val="24"/>
          <w:szCs w:val="24"/>
        </w:rPr>
        <w:t>1.</w:t>
      </w:r>
      <w:r>
        <w:rPr>
          <w:rFonts w:hint="eastAsia" w:ascii="楷体_GB2312" w:eastAsia="楷体_GB2312"/>
          <w:sz w:val="24"/>
          <w:szCs w:val="24"/>
        </w:rPr>
        <w:t>图书类</w:t>
      </w:r>
    </w:p>
    <w:p>
      <w:pPr>
        <w:widowControl/>
        <w:adjustRightInd w:val="0"/>
        <w:spacing w:line="560" w:lineRule="exact"/>
        <w:ind w:firstLine="480" w:firstLineChars="200"/>
        <w:jc w:val="left"/>
        <w:rPr>
          <w:rFonts w:hint="eastAsia" w:ascii="楷体_GB2312" w:eastAsia="楷体_GB2312"/>
          <w:sz w:val="24"/>
          <w:szCs w:val="24"/>
          <w:lang w:val="en-US" w:eastAsia="zh-CN"/>
        </w:rPr>
      </w:pPr>
      <w:r>
        <w:rPr>
          <w:rFonts w:hint="eastAsia" w:ascii="楷体_GB2312" w:eastAsia="楷体_GB2312"/>
          <w:sz w:val="24"/>
          <w:szCs w:val="24"/>
          <w:lang w:val="en-US" w:eastAsia="zh-CN"/>
        </w:rPr>
        <w:t>周德庆主编，《微生物学》（第四版），北京：高等教育出版社，2019年.</w:t>
      </w:r>
    </w:p>
    <w:p>
      <w:pPr>
        <w:widowControl/>
        <w:adjustRightInd w:val="0"/>
        <w:spacing w:line="560" w:lineRule="exact"/>
        <w:ind w:firstLine="480" w:firstLineChars="200"/>
        <w:jc w:val="left"/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  <w:lang w:val="en-US" w:eastAsia="zh-CN"/>
        </w:rPr>
        <w:t>沈萍，陈向东. 主编，《微生物学》，北京：高等教育出版社，2006年.</w:t>
      </w:r>
    </w:p>
    <w:p>
      <w:pPr>
        <w:widowControl/>
        <w:adjustRightInd w:val="0"/>
        <w:spacing w:line="560" w:lineRule="exact"/>
        <w:ind w:firstLine="480" w:firstLineChars="200"/>
        <w:jc w:val="left"/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  <w:lang w:val="en-US" w:eastAsia="zh-CN"/>
        </w:rPr>
        <w:t>郑用链. 主编，《分子生物学》，北京：科学出版社，2010年</w:t>
      </w:r>
    </w:p>
    <w:p>
      <w:pPr>
        <w:widowControl/>
        <w:adjustRightInd w:val="0"/>
        <w:spacing w:line="560" w:lineRule="exact"/>
        <w:ind w:firstLine="480" w:firstLineChars="200"/>
        <w:jc w:val="left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/>
          <w:sz w:val="24"/>
          <w:szCs w:val="24"/>
        </w:rPr>
        <w:t>2.</w:t>
      </w:r>
      <w:r>
        <w:rPr>
          <w:rFonts w:hint="eastAsia" w:ascii="楷体_GB2312" w:eastAsia="楷体_GB2312"/>
          <w:sz w:val="24"/>
          <w:szCs w:val="24"/>
        </w:rPr>
        <w:t>网络类</w:t>
      </w:r>
    </w:p>
    <w:p>
      <w:pPr>
        <w:widowControl/>
        <w:adjustRightInd w:val="0"/>
        <w:spacing w:line="560" w:lineRule="exact"/>
        <w:ind w:firstLine="480" w:firstLineChars="200"/>
        <w:jc w:val="left"/>
        <w:rPr>
          <w:rFonts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凯里学院数字图书馆：</w:t>
      </w:r>
      <w:r>
        <w:fldChar w:fldCharType="begin"/>
      </w:r>
      <w:r>
        <w:instrText xml:space="preserve"> HYPERLINK "http://www.lib.swu.edu.cn/libweb/digitalDatabase" </w:instrText>
      </w:r>
      <w:r>
        <w:fldChar w:fldCharType="separate"/>
      </w:r>
      <w:r>
        <w:rPr>
          <w:rFonts w:ascii="楷体_GB2312" w:eastAsia="楷体_GB2312"/>
          <w:sz w:val="24"/>
          <w:szCs w:val="24"/>
        </w:rPr>
        <w:t>http://www.lib.kluniv.edu.cn/</w:t>
      </w:r>
      <w:r>
        <w:rPr>
          <w:rFonts w:ascii="楷体_GB2312" w:eastAsia="楷体_GB2312"/>
          <w:sz w:val="24"/>
          <w:szCs w:val="24"/>
        </w:rPr>
        <w:fldChar w:fldCharType="end"/>
      </w:r>
    </w:p>
    <w:p>
      <w:pPr>
        <w:spacing w:line="360" w:lineRule="auto"/>
        <w:ind w:firstLine="482" w:firstLineChars="200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（二）其他</w:t>
      </w:r>
      <w:r>
        <w:rPr>
          <w:rFonts w:ascii="楷体_GB2312" w:eastAsia="楷体_GB2312"/>
          <w:b/>
          <w:sz w:val="24"/>
        </w:rPr>
        <w:t>：</w:t>
      </w:r>
    </w:p>
    <w:p>
      <w:pPr>
        <w:spacing w:line="360" w:lineRule="auto"/>
        <w:ind w:firstLine="600" w:firstLineChars="25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1.</w:t>
      </w:r>
      <w:r>
        <w:rPr>
          <w:rFonts w:hint="eastAsia" w:ascii="楷体_GB2312" w:eastAsia="楷体_GB2312"/>
          <w:sz w:val="24"/>
        </w:rPr>
        <w:t>制定依据：</w:t>
      </w:r>
    </w:p>
    <w:p>
      <w:pPr>
        <w:spacing w:line="360" w:lineRule="auto"/>
        <w:ind w:firstLine="600" w:firstLineChars="25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依据202</w:t>
      </w:r>
      <w:r>
        <w:rPr>
          <w:rFonts w:hint="eastAsia" w:ascii="楷体_GB2312" w:eastAsia="楷体_GB2312"/>
          <w:sz w:val="24"/>
          <w:lang w:val="en-US" w:eastAsia="zh-CN"/>
        </w:rPr>
        <w:t>4</w:t>
      </w:r>
      <w:r>
        <w:rPr>
          <w:rFonts w:hint="eastAsia" w:ascii="楷体_GB2312" w:eastAsia="楷体_GB2312"/>
          <w:sz w:val="24"/>
        </w:rPr>
        <w:t>年</w:t>
      </w:r>
      <w:r>
        <w:rPr>
          <w:rFonts w:hint="eastAsia" w:ascii="楷体_GB2312" w:eastAsia="楷体_GB2312"/>
          <w:sz w:val="24"/>
          <w:lang w:val="en-US" w:eastAsia="zh-CN"/>
        </w:rPr>
        <w:t>生物工程本科</w:t>
      </w:r>
      <w:r>
        <w:rPr>
          <w:rFonts w:hint="eastAsia" w:ascii="楷体_GB2312" w:eastAsia="楷体_GB2312"/>
          <w:sz w:val="24"/>
        </w:rPr>
        <w:t>专业人才</w:t>
      </w:r>
      <w:r>
        <w:rPr>
          <w:rFonts w:ascii="楷体_GB2312" w:eastAsia="楷体_GB2312"/>
          <w:sz w:val="24"/>
        </w:rPr>
        <w:t>培养方案制定。</w:t>
      </w:r>
    </w:p>
    <w:p>
      <w:pPr>
        <w:spacing w:line="360" w:lineRule="auto"/>
        <w:ind w:firstLine="600" w:firstLineChars="250"/>
        <w:rPr>
          <w:rFonts w:eastAsia="楷体_GB2312"/>
          <w:sz w:val="24"/>
        </w:rPr>
      </w:pPr>
      <w:r>
        <w:rPr>
          <w:rFonts w:ascii="楷体_GB2312" w:eastAsia="楷体_GB2312"/>
          <w:sz w:val="24"/>
        </w:rPr>
        <w:t>2.</w:t>
      </w:r>
      <w:r>
        <w:rPr>
          <w:rFonts w:hint="eastAsia" w:ascii="楷体_GB2312" w:eastAsia="楷体_GB2312"/>
          <w:sz w:val="24"/>
        </w:rPr>
        <w:t>适用</w:t>
      </w:r>
      <w:r>
        <w:rPr>
          <w:rFonts w:ascii="楷体_GB2312" w:eastAsia="楷体_GB2312"/>
          <w:sz w:val="24"/>
        </w:rPr>
        <w:t>对象：从202</w:t>
      </w:r>
      <w:r>
        <w:rPr>
          <w:rFonts w:hint="eastAsia" w:ascii="楷体_GB2312" w:eastAsia="楷体_GB2312"/>
          <w:sz w:val="24"/>
          <w:lang w:val="en-US" w:eastAsia="zh-CN"/>
        </w:rPr>
        <w:t>4</w:t>
      </w:r>
      <w:r>
        <w:rPr>
          <w:rFonts w:hint="eastAsia" w:ascii="楷体_GB2312" w:eastAsia="楷体_GB2312"/>
          <w:sz w:val="24"/>
        </w:rPr>
        <w:t>级</w:t>
      </w:r>
      <w:r>
        <w:rPr>
          <w:rFonts w:ascii="楷体_GB2312" w:eastAsia="楷体_GB2312"/>
          <w:sz w:val="24"/>
        </w:rPr>
        <w:t>学生开始执行。</w:t>
      </w:r>
    </w:p>
    <w:p>
      <w:pPr>
        <w:spacing w:line="360" w:lineRule="auto"/>
        <w:ind w:firstLine="600" w:firstLineChars="250"/>
        <w:rPr>
          <w:rFonts w:ascii="楷体_GB2312" w:eastAsia="楷体_GB2312"/>
          <w:sz w:val="24"/>
        </w:rPr>
      </w:pPr>
      <w:bookmarkStart w:id="0" w:name="_GoBack"/>
      <w:bookmarkEnd w:id="0"/>
    </w:p>
    <w:p>
      <w:pPr>
        <w:spacing w:line="360" w:lineRule="auto"/>
        <w:ind w:firstLine="600" w:firstLineChars="250"/>
        <w:rPr>
          <w:rFonts w:hint="default" w:ascii="楷体_GB2312" w:eastAsia="楷体_GB2312"/>
          <w:sz w:val="24"/>
          <w:lang w:val="en-US" w:eastAsia="zh-CN"/>
        </w:rPr>
      </w:pPr>
      <w:r>
        <w:rPr>
          <w:rFonts w:hint="eastAsia" w:ascii="楷体_GB2312" w:eastAsia="楷体_GB2312"/>
          <w:sz w:val="24"/>
        </w:rPr>
        <w:t>执笔人</w:t>
      </w:r>
      <w:r>
        <w:rPr>
          <w:rFonts w:ascii="楷体_GB2312" w:eastAsia="楷体_GB2312"/>
          <w:sz w:val="24"/>
        </w:rPr>
        <w:t>：</w:t>
      </w:r>
      <w:r>
        <w:rPr>
          <w:rFonts w:hint="eastAsia" w:ascii="楷体_GB2312" w:eastAsia="楷体_GB2312"/>
          <w:sz w:val="24"/>
          <w:lang w:eastAsia="zh-Hans"/>
        </w:rPr>
        <w:t>李向阳</w:t>
      </w:r>
      <w:r>
        <w:rPr>
          <w:rFonts w:hint="eastAsia" w:ascii="楷体_GB2312" w:eastAsia="楷体_GB2312"/>
          <w:sz w:val="24"/>
          <w:lang w:eastAsia="zh-CN"/>
        </w:rPr>
        <w:t>、</w:t>
      </w:r>
      <w:r>
        <w:rPr>
          <w:rFonts w:hint="eastAsia" w:ascii="楷体_GB2312" w:eastAsia="楷体_GB2312"/>
          <w:sz w:val="24"/>
          <w:lang w:val="en-US" w:eastAsia="zh-CN"/>
        </w:rPr>
        <w:t>魏立娟</w:t>
      </w:r>
    </w:p>
    <w:p>
      <w:pPr>
        <w:spacing w:line="360" w:lineRule="auto"/>
        <w:ind w:firstLine="600" w:firstLineChars="250"/>
        <w:rPr>
          <w:rFonts w:hint="default" w:ascii="楷体_GB2312" w:eastAsia="楷体_GB2312"/>
          <w:color w:val="FF0000"/>
          <w:sz w:val="24"/>
        </w:rPr>
      </w:pPr>
      <w:r>
        <w:rPr>
          <w:rFonts w:hint="eastAsia" w:ascii="楷体_GB2312" w:eastAsia="楷体_GB2312"/>
          <w:sz w:val="24"/>
        </w:rPr>
        <w:t>审核人：</w:t>
      </w:r>
      <w:r>
        <w:rPr>
          <w:rFonts w:hint="default" w:ascii="楷体_GB2312" w:eastAsia="楷体_GB2312"/>
          <w:color w:val="FF0000"/>
          <w:sz w:val="24"/>
        </w:rPr>
        <w:t xml:space="preserve"> </w:t>
      </w:r>
    </w:p>
    <w:p>
      <w:pPr>
        <w:spacing w:line="360" w:lineRule="auto"/>
        <w:ind w:firstLine="600" w:firstLineChars="250"/>
        <w:rPr>
          <w:rFonts w:hint="default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审定人：</w:t>
      </w:r>
      <w:r>
        <w:rPr>
          <w:rFonts w:hint="default" w:ascii="楷体_GB2312" w:eastAsia="楷体_GB2312"/>
          <w:sz w:val="24"/>
        </w:rPr>
        <w:t xml:space="preserve"> </w:t>
      </w:r>
    </w:p>
    <w:p>
      <w:pPr>
        <w:spacing w:line="360" w:lineRule="auto"/>
        <w:ind w:firstLine="600" w:firstLineChars="250"/>
        <w:rPr>
          <w:rFonts w:ascii="楷体_GB2312" w:eastAsia="楷体_GB2312"/>
          <w:sz w:val="24"/>
        </w:rPr>
      </w:pPr>
    </w:p>
    <w:p>
      <w:pPr>
        <w:spacing w:line="360" w:lineRule="auto"/>
        <w:ind w:firstLine="600" w:firstLineChars="250"/>
        <w:rPr>
          <w:rFonts w:ascii="楷体_GB2312" w:eastAsia="楷体_GB2312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2000019F" w:csb1="4F01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91689150"/>
    </w:sdtPr>
    <w:sdtContent>
      <w:sdt>
        <w:sdtPr>
          <w:id w:val="1728636285"/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7F550A"/>
    <w:multiLevelType w:val="singleLevel"/>
    <w:tmpl w:val="DF7F55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82B6136"/>
    <w:multiLevelType w:val="multilevel"/>
    <w:tmpl w:val="482B6136"/>
    <w:lvl w:ilvl="0" w:tentative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35" w:hanging="420"/>
      </w:pPr>
    </w:lvl>
    <w:lvl w:ilvl="2" w:tentative="0">
      <w:start w:val="1"/>
      <w:numFmt w:val="lowerRoman"/>
      <w:lvlText w:val="%3."/>
      <w:lvlJc w:val="right"/>
      <w:pPr>
        <w:ind w:left="1755" w:hanging="420"/>
      </w:pPr>
    </w:lvl>
    <w:lvl w:ilvl="3" w:tentative="0">
      <w:start w:val="1"/>
      <w:numFmt w:val="decimal"/>
      <w:lvlText w:val="%4."/>
      <w:lvlJc w:val="left"/>
      <w:pPr>
        <w:ind w:left="2175" w:hanging="420"/>
      </w:pPr>
    </w:lvl>
    <w:lvl w:ilvl="4" w:tentative="0">
      <w:start w:val="1"/>
      <w:numFmt w:val="lowerLetter"/>
      <w:lvlText w:val="%5)"/>
      <w:lvlJc w:val="left"/>
      <w:pPr>
        <w:ind w:left="2595" w:hanging="420"/>
      </w:pPr>
    </w:lvl>
    <w:lvl w:ilvl="5" w:tentative="0">
      <w:start w:val="1"/>
      <w:numFmt w:val="lowerRoman"/>
      <w:lvlText w:val="%6."/>
      <w:lvlJc w:val="right"/>
      <w:pPr>
        <w:ind w:left="3015" w:hanging="420"/>
      </w:pPr>
    </w:lvl>
    <w:lvl w:ilvl="6" w:tentative="0">
      <w:start w:val="1"/>
      <w:numFmt w:val="decimal"/>
      <w:lvlText w:val="%7."/>
      <w:lvlJc w:val="left"/>
      <w:pPr>
        <w:ind w:left="3435" w:hanging="420"/>
      </w:pPr>
    </w:lvl>
    <w:lvl w:ilvl="7" w:tentative="0">
      <w:start w:val="1"/>
      <w:numFmt w:val="lowerLetter"/>
      <w:lvlText w:val="%8)"/>
      <w:lvlJc w:val="left"/>
      <w:pPr>
        <w:ind w:left="3855" w:hanging="420"/>
      </w:pPr>
    </w:lvl>
    <w:lvl w:ilvl="8" w:tentative="0">
      <w:start w:val="1"/>
      <w:numFmt w:val="lowerRoman"/>
      <w:lvlText w:val="%9."/>
      <w:lvlJc w:val="right"/>
      <w:pPr>
        <w:ind w:left="4275" w:hanging="420"/>
      </w:pPr>
    </w:lvl>
  </w:abstractNum>
  <w:abstractNum w:abstractNumId="2">
    <w:nsid w:val="5FD370D4"/>
    <w:multiLevelType w:val="multilevel"/>
    <w:tmpl w:val="5FD370D4"/>
    <w:lvl w:ilvl="0" w:tentative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35" w:hanging="420"/>
      </w:pPr>
    </w:lvl>
    <w:lvl w:ilvl="2" w:tentative="0">
      <w:start w:val="1"/>
      <w:numFmt w:val="lowerRoman"/>
      <w:lvlText w:val="%3."/>
      <w:lvlJc w:val="right"/>
      <w:pPr>
        <w:ind w:left="1755" w:hanging="420"/>
      </w:pPr>
    </w:lvl>
    <w:lvl w:ilvl="3" w:tentative="0">
      <w:start w:val="1"/>
      <w:numFmt w:val="decimal"/>
      <w:lvlText w:val="%4."/>
      <w:lvlJc w:val="left"/>
      <w:pPr>
        <w:ind w:left="2175" w:hanging="420"/>
      </w:pPr>
    </w:lvl>
    <w:lvl w:ilvl="4" w:tentative="0">
      <w:start w:val="1"/>
      <w:numFmt w:val="lowerLetter"/>
      <w:lvlText w:val="%5)"/>
      <w:lvlJc w:val="left"/>
      <w:pPr>
        <w:ind w:left="2595" w:hanging="420"/>
      </w:pPr>
    </w:lvl>
    <w:lvl w:ilvl="5" w:tentative="0">
      <w:start w:val="1"/>
      <w:numFmt w:val="lowerRoman"/>
      <w:lvlText w:val="%6."/>
      <w:lvlJc w:val="right"/>
      <w:pPr>
        <w:ind w:left="3015" w:hanging="420"/>
      </w:pPr>
    </w:lvl>
    <w:lvl w:ilvl="6" w:tentative="0">
      <w:start w:val="1"/>
      <w:numFmt w:val="decimal"/>
      <w:lvlText w:val="%7."/>
      <w:lvlJc w:val="left"/>
      <w:pPr>
        <w:ind w:left="3435" w:hanging="420"/>
      </w:pPr>
    </w:lvl>
    <w:lvl w:ilvl="7" w:tentative="0">
      <w:start w:val="1"/>
      <w:numFmt w:val="lowerLetter"/>
      <w:lvlText w:val="%8)"/>
      <w:lvlJc w:val="left"/>
      <w:pPr>
        <w:ind w:left="3855" w:hanging="420"/>
      </w:pPr>
    </w:lvl>
    <w:lvl w:ilvl="8" w:tentative="0">
      <w:start w:val="1"/>
      <w:numFmt w:val="lowerRoman"/>
      <w:lvlText w:val="%9."/>
      <w:lvlJc w:val="right"/>
      <w:pPr>
        <w:ind w:left="4275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iODk5MjA4MzZiMjA4MDA3ZTNkNWY1ZmZkYjZjYTkifQ=="/>
  </w:docVars>
  <w:rsids>
    <w:rsidRoot w:val="000C1FD6"/>
    <w:rsid w:val="00000A04"/>
    <w:rsid w:val="00056AF4"/>
    <w:rsid w:val="00062EA9"/>
    <w:rsid w:val="00080668"/>
    <w:rsid w:val="00097E6A"/>
    <w:rsid w:val="000A2BD6"/>
    <w:rsid w:val="000A3773"/>
    <w:rsid w:val="000A4C00"/>
    <w:rsid w:val="000B1A1C"/>
    <w:rsid w:val="000C1FD6"/>
    <w:rsid w:val="000D5E83"/>
    <w:rsid w:val="000E151A"/>
    <w:rsid w:val="000E184D"/>
    <w:rsid w:val="000F3A5F"/>
    <w:rsid w:val="001000FF"/>
    <w:rsid w:val="00101534"/>
    <w:rsid w:val="00115FE2"/>
    <w:rsid w:val="00116993"/>
    <w:rsid w:val="00122A6C"/>
    <w:rsid w:val="00134F46"/>
    <w:rsid w:val="001366B2"/>
    <w:rsid w:val="001458F3"/>
    <w:rsid w:val="00152952"/>
    <w:rsid w:val="001703B1"/>
    <w:rsid w:val="00180A12"/>
    <w:rsid w:val="001A0314"/>
    <w:rsid w:val="001F4A91"/>
    <w:rsid w:val="001F668D"/>
    <w:rsid w:val="0020364C"/>
    <w:rsid w:val="00235453"/>
    <w:rsid w:val="00254947"/>
    <w:rsid w:val="0026451F"/>
    <w:rsid w:val="00265273"/>
    <w:rsid w:val="00272708"/>
    <w:rsid w:val="00286FCA"/>
    <w:rsid w:val="002A24C2"/>
    <w:rsid w:val="002A2CBC"/>
    <w:rsid w:val="002B031C"/>
    <w:rsid w:val="002B543A"/>
    <w:rsid w:val="003024A4"/>
    <w:rsid w:val="003410C6"/>
    <w:rsid w:val="00345F1C"/>
    <w:rsid w:val="003523CC"/>
    <w:rsid w:val="00362008"/>
    <w:rsid w:val="00365BF2"/>
    <w:rsid w:val="00377995"/>
    <w:rsid w:val="0038156C"/>
    <w:rsid w:val="003A37F4"/>
    <w:rsid w:val="003C483A"/>
    <w:rsid w:val="003D3181"/>
    <w:rsid w:val="003F7484"/>
    <w:rsid w:val="004147D1"/>
    <w:rsid w:val="0043048D"/>
    <w:rsid w:val="004352CF"/>
    <w:rsid w:val="004368B0"/>
    <w:rsid w:val="004376FF"/>
    <w:rsid w:val="004461AD"/>
    <w:rsid w:val="00463E5B"/>
    <w:rsid w:val="00465851"/>
    <w:rsid w:val="004804E8"/>
    <w:rsid w:val="00482E43"/>
    <w:rsid w:val="00483727"/>
    <w:rsid w:val="00486F83"/>
    <w:rsid w:val="0049738A"/>
    <w:rsid w:val="004B2203"/>
    <w:rsid w:val="004C0176"/>
    <w:rsid w:val="004C53AE"/>
    <w:rsid w:val="004C6D2B"/>
    <w:rsid w:val="004E102F"/>
    <w:rsid w:val="004E630E"/>
    <w:rsid w:val="004F7A93"/>
    <w:rsid w:val="00503355"/>
    <w:rsid w:val="00504766"/>
    <w:rsid w:val="00542674"/>
    <w:rsid w:val="00563868"/>
    <w:rsid w:val="005708EE"/>
    <w:rsid w:val="00572CDB"/>
    <w:rsid w:val="005742A1"/>
    <w:rsid w:val="005B1217"/>
    <w:rsid w:val="00613A2E"/>
    <w:rsid w:val="00666869"/>
    <w:rsid w:val="006B62FA"/>
    <w:rsid w:val="006C6000"/>
    <w:rsid w:val="006D4E76"/>
    <w:rsid w:val="006D4EC0"/>
    <w:rsid w:val="006E4446"/>
    <w:rsid w:val="006E6427"/>
    <w:rsid w:val="006F5AC0"/>
    <w:rsid w:val="006F5AFA"/>
    <w:rsid w:val="00746E54"/>
    <w:rsid w:val="00750DF0"/>
    <w:rsid w:val="0075161A"/>
    <w:rsid w:val="007674CE"/>
    <w:rsid w:val="00780F86"/>
    <w:rsid w:val="00793E21"/>
    <w:rsid w:val="0079434E"/>
    <w:rsid w:val="00794D58"/>
    <w:rsid w:val="007C22F8"/>
    <w:rsid w:val="00816F94"/>
    <w:rsid w:val="00821364"/>
    <w:rsid w:val="00846ADF"/>
    <w:rsid w:val="00846D0F"/>
    <w:rsid w:val="008503AF"/>
    <w:rsid w:val="00855E07"/>
    <w:rsid w:val="00861F9E"/>
    <w:rsid w:val="00866A8F"/>
    <w:rsid w:val="008701BF"/>
    <w:rsid w:val="00883B22"/>
    <w:rsid w:val="008900B6"/>
    <w:rsid w:val="008B6F2F"/>
    <w:rsid w:val="008C2296"/>
    <w:rsid w:val="008C4147"/>
    <w:rsid w:val="008F3EE2"/>
    <w:rsid w:val="00901696"/>
    <w:rsid w:val="00915C36"/>
    <w:rsid w:val="00931A00"/>
    <w:rsid w:val="0095021D"/>
    <w:rsid w:val="00954162"/>
    <w:rsid w:val="00980B20"/>
    <w:rsid w:val="009853B6"/>
    <w:rsid w:val="009938DB"/>
    <w:rsid w:val="009B43E6"/>
    <w:rsid w:val="009D0C05"/>
    <w:rsid w:val="009F1BF9"/>
    <w:rsid w:val="009F4B4F"/>
    <w:rsid w:val="00A145F8"/>
    <w:rsid w:val="00A1575E"/>
    <w:rsid w:val="00A2148A"/>
    <w:rsid w:val="00A30C46"/>
    <w:rsid w:val="00A31F51"/>
    <w:rsid w:val="00A3272E"/>
    <w:rsid w:val="00A432FF"/>
    <w:rsid w:val="00A5365D"/>
    <w:rsid w:val="00A9198F"/>
    <w:rsid w:val="00A97329"/>
    <w:rsid w:val="00AB2808"/>
    <w:rsid w:val="00AB29FC"/>
    <w:rsid w:val="00AB5BC6"/>
    <w:rsid w:val="00AC398A"/>
    <w:rsid w:val="00AE7FF7"/>
    <w:rsid w:val="00B071BE"/>
    <w:rsid w:val="00B164DE"/>
    <w:rsid w:val="00B24C6A"/>
    <w:rsid w:val="00B33985"/>
    <w:rsid w:val="00B41E79"/>
    <w:rsid w:val="00B45F48"/>
    <w:rsid w:val="00B57987"/>
    <w:rsid w:val="00B761AE"/>
    <w:rsid w:val="00B77B4C"/>
    <w:rsid w:val="00BE08CA"/>
    <w:rsid w:val="00BE4838"/>
    <w:rsid w:val="00BE4AB7"/>
    <w:rsid w:val="00BF1EB7"/>
    <w:rsid w:val="00C041D4"/>
    <w:rsid w:val="00C10340"/>
    <w:rsid w:val="00C1354B"/>
    <w:rsid w:val="00C370B7"/>
    <w:rsid w:val="00C417FF"/>
    <w:rsid w:val="00C626D4"/>
    <w:rsid w:val="00C708E2"/>
    <w:rsid w:val="00C8584D"/>
    <w:rsid w:val="00CA3D33"/>
    <w:rsid w:val="00CA4462"/>
    <w:rsid w:val="00CA5AE3"/>
    <w:rsid w:val="00CD46C5"/>
    <w:rsid w:val="00CD65AE"/>
    <w:rsid w:val="00D042C8"/>
    <w:rsid w:val="00D14A28"/>
    <w:rsid w:val="00D61F03"/>
    <w:rsid w:val="00D77133"/>
    <w:rsid w:val="00DB09B5"/>
    <w:rsid w:val="00DC6ECD"/>
    <w:rsid w:val="00DD2C16"/>
    <w:rsid w:val="00DD537F"/>
    <w:rsid w:val="00DE0A86"/>
    <w:rsid w:val="00DF511D"/>
    <w:rsid w:val="00DF7B67"/>
    <w:rsid w:val="00E00F91"/>
    <w:rsid w:val="00E05A8D"/>
    <w:rsid w:val="00E11F64"/>
    <w:rsid w:val="00E1717E"/>
    <w:rsid w:val="00E361C6"/>
    <w:rsid w:val="00E47BE2"/>
    <w:rsid w:val="00E5362B"/>
    <w:rsid w:val="00E6605C"/>
    <w:rsid w:val="00E67694"/>
    <w:rsid w:val="00E75314"/>
    <w:rsid w:val="00E90F8E"/>
    <w:rsid w:val="00EA7CE1"/>
    <w:rsid w:val="00EB240D"/>
    <w:rsid w:val="00EC6B97"/>
    <w:rsid w:val="00EC7C1D"/>
    <w:rsid w:val="00EE68E2"/>
    <w:rsid w:val="00F56925"/>
    <w:rsid w:val="00F56DB3"/>
    <w:rsid w:val="00F770D8"/>
    <w:rsid w:val="00FB7178"/>
    <w:rsid w:val="00FC1055"/>
    <w:rsid w:val="031604AA"/>
    <w:rsid w:val="0528302F"/>
    <w:rsid w:val="067511A0"/>
    <w:rsid w:val="080E02B9"/>
    <w:rsid w:val="08532DD3"/>
    <w:rsid w:val="08BD55B6"/>
    <w:rsid w:val="0ACE67A2"/>
    <w:rsid w:val="0D770D70"/>
    <w:rsid w:val="0D9D1A0B"/>
    <w:rsid w:val="0ED57A6F"/>
    <w:rsid w:val="0EEF2EB1"/>
    <w:rsid w:val="0EEF40EB"/>
    <w:rsid w:val="115C4321"/>
    <w:rsid w:val="1254602B"/>
    <w:rsid w:val="134B43C2"/>
    <w:rsid w:val="19246B20"/>
    <w:rsid w:val="19666CFF"/>
    <w:rsid w:val="1D1CAAD3"/>
    <w:rsid w:val="1D6DFDEE"/>
    <w:rsid w:val="1F637BDF"/>
    <w:rsid w:val="1FF54470"/>
    <w:rsid w:val="2D120D3B"/>
    <w:rsid w:val="2D4A1255"/>
    <w:rsid w:val="2D74011C"/>
    <w:rsid w:val="2DE63F02"/>
    <w:rsid w:val="2F25158C"/>
    <w:rsid w:val="2FEFB64B"/>
    <w:rsid w:val="2FFF3C46"/>
    <w:rsid w:val="330B568E"/>
    <w:rsid w:val="33C33B2D"/>
    <w:rsid w:val="36315E1D"/>
    <w:rsid w:val="397716E5"/>
    <w:rsid w:val="3ACE216B"/>
    <w:rsid w:val="3B1179DF"/>
    <w:rsid w:val="3B680A25"/>
    <w:rsid w:val="3E9B0E35"/>
    <w:rsid w:val="3FBFF146"/>
    <w:rsid w:val="3FFE67BB"/>
    <w:rsid w:val="42DC3885"/>
    <w:rsid w:val="485E236B"/>
    <w:rsid w:val="4B066A8B"/>
    <w:rsid w:val="4DEF0038"/>
    <w:rsid w:val="4EFF50A4"/>
    <w:rsid w:val="50585A8F"/>
    <w:rsid w:val="508576D0"/>
    <w:rsid w:val="51664DB3"/>
    <w:rsid w:val="535668F7"/>
    <w:rsid w:val="540C06E4"/>
    <w:rsid w:val="548F0108"/>
    <w:rsid w:val="566F7682"/>
    <w:rsid w:val="56E6BF28"/>
    <w:rsid w:val="5B2308A0"/>
    <w:rsid w:val="5C7BA243"/>
    <w:rsid w:val="5CE841BD"/>
    <w:rsid w:val="5DBD00B8"/>
    <w:rsid w:val="5F07642C"/>
    <w:rsid w:val="5F470EDC"/>
    <w:rsid w:val="5FF7AF78"/>
    <w:rsid w:val="66570B63"/>
    <w:rsid w:val="666B1062"/>
    <w:rsid w:val="69BC5B71"/>
    <w:rsid w:val="69FDE734"/>
    <w:rsid w:val="6CDE20E6"/>
    <w:rsid w:val="6FCF6F1D"/>
    <w:rsid w:val="6FFFD87E"/>
    <w:rsid w:val="701C3B54"/>
    <w:rsid w:val="74974D5A"/>
    <w:rsid w:val="779EA656"/>
    <w:rsid w:val="799F52DD"/>
    <w:rsid w:val="7A7F9028"/>
    <w:rsid w:val="7AD769CA"/>
    <w:rsid w:val="7BFB5672"/>
    <w:rsid w:val="7D593136"/>
    <w:rsid w:val="7DBB27AE"/>
    <w:rsid w:val="7EFF0DD1"/>
    <w:rsid w:val="7EFF4BC3"/>
    <w:rsid w:val="7F933188"/>
    <w:rsid w:val="7FE7D1A7"/>
    <w:rsid w:val="7FEF5560"/>
    <w:rsid w:val="7FF7C221"/>
    <w:rsid w:val="B3FB87D8"/>
    <w:rsid w:val="B5FE7FA7"/>
    <w:rsid w:val="B75F7ACB"/>
    <w:rsid w:val="BF6FE5A9"/>
    <w:rsid w:val="BFFBBFFE"/>
    <w:rsid w:val="C7BE984B"/>
    <w:rsid w:val="CFDF4BF5"/>
    <w:rsid w:val="DEBBF1E0"/>
    <w:rsid w:val="DF733AEA"/>
    <w:rsid w:val="E1EDC6C5"/>
    <w:rsid w:val="E3DF5BBB"/>
    <w:rsid w:val="E7FE7FF8"/>
    <w:rsid w:val="EDEFFCA1"/>
    <w:rsid w:val="EDFFF2BE"/>
    <w:rsid w:val="EF8B50D4"/>
    <w:rsid w:val="EFEB9826"/>
    <w:rsid w:val="F55FAB72"/>
    <w:rsid w:val="F9ADA786"/>
    <w:rsid w:val="F9BF0453"/>
    <w:rsid w:val="FD7F0ACB"/>
    <w:rsid w:val="FD7F4C4D"/>
    <w:rsid w:val="FDC68199"/>
    <w:rsid w:val="FE7323E4"/>
    <w:rsid w:val="FF3FB668"/>
    <w:rsid w:val="FFBB8DB1"/>
    <w:rsid w:val="FFDDA245"/>
    <w:rsid w:val="FFFC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Lines="50" w:afterLines="50" w:line="336" w:lineRule="auto"/>
      <w:ind w:firstLine="200" w:firstLineChars="200"/>
      <w:jc w:val="left"/>
      <w:outlineLvl w:val="1"/>
    </w:pPr>
    <w:rPr>
      <w:rFonts w:eastAsia="黑体"/>
      <w:b/>
      <w:bCs/>
      <w:sz w:val="28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Hyperlink"/>
    <w:basedOn w:val="9"/>
    <w:semiHidden/>
    <w:unhideWhenUsed/>
    <w:uiPriority w:val="99"/>
    <w:rPr>
      <w:color w:val="0000FF"/>
      <w:u w:val="single"/>
    </w:rPr>
  </w:style>
  <w:style w:type="character" w:customStyle="1" w:styleId="12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6">
    <w:name w:val="无间隔1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楷体_GB2312" w:hAnsi="楷体_GB2312" w:eastAsia="楷体_GB2312" w:cs="Times New Roman"/>
      <w:color w:val="000000"/>
      <w:sz w:val="24"/>
      <w:szCs w:val="22"/>
      <w:lang w:val="en-US" w:eastAsia="zh-CN" w:bidi="ar-SA"/>
    </w:rPr>
  </w:style>
  <w:style w:type="paragraph" w:customStyle="1" w:styleId="18">
    <w:name w:val="Table Paragraph"/>
    <w:basedOn w:val="1"/>
    <w:qFormat/>
    <w:uiPriority w:val="1"/>
  </w:style>
  <w:style w:type="paragraph" w:styleId="1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0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kern w:val="0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15</Pages>
  <Words>6324</Words>
  <Characters>6683</Characters>
  <Lines>48</Lines>
  <Paragraphs>13</Paragraphs>
  <TotalTime>5</TotalTime>
  <ScaleCrop>false</ScaleCrop>
  <LinksUpToDate>false</LinksUpToDate>
  <CharactersWithSpaces>6901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2018-04-21T01:06:00Z</dcterms:created>
  <dc:creator>石定芳</dc:creator>
  <cp:lastModifiedBy>LENOVO</cp:lastModifiedBy>
  <cp:lastPrinted>2022-07-11T08:47:00Z</cp:lastPrinted>
  <dcterms:modified xsi:type="dcterms:W3CDTF">2025-08-27T07:52:10Z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2BF8871239B385384779E0654616FCEF_43</vt:lpwstr>
  </property>
</Properties>
</file>